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b w:val="1"/>
          <w:sz w:val="24"/>
          <w:szCs w:val="24"/>
        </w:rPr>
      </w:pPr>
      <w:r w:rsidDel="00000000" w:rsidR="00000000" w:rsidRPr="00000000">
        <w:rPr>
          <w:b w:val="1"/>
          <w:sz w:val="24"/>
          <w:szCs w:val="24"/>
          <w:rtl w:val="0"/>
        </w:rPr>
        <w:t xml:space="preserve">GBOC TMA Study</w:t>
      </w:r>
    </w:p>
    <w:p w:rsidR="00000000" w:rsidDel="00000000" w:rsidP="00000000" w:rsidRDefault="00000000" w:rsidRPr="00000000" w14:paraId="00000002">
      <w:pPr>
        <w:spacing w:after="0" w:lineRule="auto"/>
        <w:jc w:val="both"/>
        <w:rPr>
          <w:b w:val="1"/>
          <w:sz w:val="24"/>
          <w:szCs w:val="24"/>
        </w:rPr>
      </w:pPr>
      <w:r w:rsidDel="00000000" w:rsidR="00000000" w:rsidRPr="00000000">
        <w:rPr>
          <w:b w:val="1"/>
          <w:sz w:val="24"/>
          <w:szCs w:val="24"/>
          <w:rtl w:val="0"/>
        </w:rPr>
        <w:t xml:space="preserve">Study Title: </w:t>
      </w:r>
    </w:p>
    <w:p w:rsidR="00000000" w:rsidDel="00000000" w:rsidP="00000000" w:rsidRDefault="00000000" w:rsidRPr="00000000" w14:paraId="00000003">
      <w:pPr>
        <w:spacing w:after="0" w:lineRule="auto"/>
        <w:jc w:val="both"/>
        <w:rPr>
          <w:b w:val="1"/>
          <w:color w:val="000000"/>
          <w:sz w:val="24"/>
          <w:szCs w:val="24"/>
        </w:rPr>
      </w:pPr>
      <w:r w:rsidDel="00000000" w:rsidR="00000000" w:rsidRPr="00000000">
        <w:rPr>
          <w:b w:val="1"/>
          <w:color w:val="000000"/>
          <w:sz w:val="24"/>
          <w:szCs w:val="24"/>
          <w:rtl w:val="0"/>
        </w:rPr>
        <w:t xml:space="preserve">Evaluation of spatial ecology of Tie2-activated myofibroblastic-CAFs as potential prognostic indicator of oral cancer</w:t>
      </w:r>
    </w:p>
    <w:p w:rsidR="00000000" w:rsidDel="00000000" w:rsidP="00000000" w:rsidRDefault="00000000" w:rsidRPr="00000000" w14:paraId="00000004">
      <w:pPr>
        <w:spacing w:after="0" w:lineRule="auto"/>
        <w:jc w:val="both"/>
        <w:rPr>
          <w:sz w:val="24"/>
          <w:szCs w:val="24"/>
        </w:rPr>
      </w:pPr>
      <w:r w:rsidDel="00000000" w:rsidR="00000000" w:rsidRPr="00000000">
        <w:rPr>
          <w:rtl w:val="0"/>
        </w:rPr>
      </w:r>
    </w:p>
    <w:p w:rsidR="00000000" w:rsidDel="00000000" w:rsidP="00000000" w:rsidRDefault="00000000" w:rsidRPr="00000000" w14:paraId="00000005">
      <w:pPr>
        <w:spacing w:after="0" w:lineRule="auto"/>
        <w:jc w:val="both"/>
        <w:rPr>
          <w:sz w:val="24"/>
          <w:szCs w:val="24"/>
        </w:rPr>
      </w:pPr>
      <w:r w:rsidDel="00000000" w:rsidR="00000000" w:rsidRPr="00000000">
        <w:rPr>
          <w:b w:val="1"/>
          <w:sz w:val="24"/>
          <w:szCs w:val="24"/>
          <w:rtl w:val="0"/>
        </w:rPr>
        <w:t xml:space="preserve">Protocol version 1, dated 11.08.2024</w:t>
      </w:r>
      <w:r w:rsidDel="00000000" w:rsidR="00000000" w:rsidRPr="00000000">
        <w:rPr>
          <w:rtl w:val="0"/>
        </w:rPr>
      </w:r>
    </w:p>
    <w:p w:rsidR="00000000" w:rsidDel="00000000" w:rsidP="00000000" w:rsidRDefault="00000000" w:rsidRPr="00000000" w14:paraId="00000006">
      <w:pPr>
        <w:spacing w:after="0" w:lineRule="auto"/>
        <w:jc w:val="both"/>
        <w:rPr>
          <w:b w:val="1"/>
          <w:sz w:val="24"/>
          <w:szCs w:val="24"/>
        </w:rPr>
      </w:pPr>
      <w:r w:rsidDel="00000000" w:rsidR="00000000" w:rsidRPr="00000000">
        <w:rPr>
          <w:rtl w:val="0"/>
        </w:rPr>
      </w:r>
    </w:p>
    <w:tbl>
      <w:tblPr>
        <w:tblStyle w:val="Table1"/>
        <w:tblW w:w="90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6645"/>
        <w:tblGridChange w:id="0">
          <w:tblGrid>
            <w:gridCol w:w="2445"/>
            <w:gridCol w:w="6645"/>
          </w:tblGrid>
        </w:tblGridChange>
      </w:tblGrid>
      <w:tr>
        <w:trPr>
          <w:cantSplit w:val="0"/>
          <w:tblHeader w:val="0"/>
        </w:trPr>
        <w:tc>
          <w:tcPr/>
          <w:p w:rsidR="00000000" w:rsidDel="00000000" w:rsidP="00000000" w:rsidRDefault="00000000" w:rsidRPr="00000000" w14:paraId="00000007">
            <w:pPr>
              <w:spacing w:after="0" w:lineRule="auto"/>
              <w:jc w:val="both"/>
              <w:rPr>
                <w:b w:val="1"/>
                <w:sz w:val="24"/>
                <w:szCs w:val="24"/>
              </w:rPr>
            </w:pPr>
            <w:r w:rsidDel="00000000" w:rsidR="00000000" w:rsidRPr="00000000">
              <w:rPr>
                <w:b w:val="1"/>
                <w:sz w:val="24"/>
                <w:szCs w:val="24"/>
                <w:rtl w:val="0"/>
              </w:rPr>
              <w:t xml:space="preserve">Coordinating center</w:t>
            </w:r>
          </w:p>
        </w:tc>
        <w:tc>
          <w:tcPr/>
          <w:p w:rsidR="00000000" w:rsidDel="00000000" w:rsidP="00000000" w:rsidRDefault="00000000" w:rsidRPr="00000000" w14:paraId="00000008">
            <w:pPr>
              <w:widowControl w:val="1"/>
              <w:spacing w:after="0" w:lineRule="auto"/>
              <w:ind w:left="41" w:firstLine="0"/>
              <w:jc w:val="both"/>
              <w:rPr>
                <w:color w:val="000000"/>
                <w:sz w:val="24"/>
                <w:szCs w:val="24"/>
              </w:rPr>
            </w:pPr>
            <w:r w:rsidDel="00000000" w:rsidR="00000000" w:rsidRPr="00000000">
              <w:rPr>
                <w:color w:val="000000"/>
                <w:sz w:val="24"/>
                <w:szCs w:val="24"/>
                <w:rtl w:val="0"/>
              </w:rPr>
              <w:t xml:space="preserve">Tata Medical Center, </w:t>
            </w:r>
          </w:p>
          <w:p w:rsidR="00000000" w:rsidDel="00000000" w:rsidP="00000000" w:rsidRDefault="00000000" w:rsidRPr="00000000" w14:paraId="00000009">
            <w:pPr>
              <w:widowControl w:val="1"/>
              <w:spacing w:after="0" w:lineRule="auto"/>
              <w:ind w:left="41" w:hanging="155"/>
              <w:jc w:val="both"/>
              <w:rPr>
                <w:color w:val="000000"/>
                <w:sz w:val="24"/>
                <w:szCs w:val="24"/>
              </w:rPr>
            </w:pPr>
            <w:r w:rsidDel="00000000" w:rsidR="00000000" w:rsidRPr="00000000">
              <w:rPr>
                <w:color w:val="000000"/>
                <w:sz w:val="24"/>
                <w:szCs w:val="24"/>
                <w:rtl w:val="0"/>
              </w:rPr>
              <w:t xml:space="preserve">   14 MAR- EW, Newtown,</w:t>
            </w:r>
          </w:p>
          <w:p w:rsidR="00000000" w:rsidDel="00000000" w:rsidP="00000000" w:rsidRDefault="00000000" w:rsidRPr="00000000" w14:paraId="0000000A">
            <w:pPr>
              <w:widowControl w:val="1"/>
              <w:spacing w:after="0" w:lineRule="auto"/>
              <w:ind w:left="41" w:hanging="155"/>
              <w:jc w:val="both"/>
              <w:rPr>
                <w:color w:val="000000"/>
                <w:sz w:val="24"/>
                <w:szCs w:val="24"/>
              </w:rPr>
            </w:pPr>
            <w:r w:rsidDel="00000000" w:rsidR="00000000" w:rsidRPr="00000000">
              <w:rPr>
                <w:color w:val="000000"/>
                <w:sz w:val="24"/>
                <w:szCs w:val="24"/>
                <w:rtl w:val="0"/>
              </w:rPr>
              <w:t xml:space="preserve">    Kolkata-700156</w:t>
            </w:r>
          </w:p>
          <w:p w:rsidR="00000000" w:rsidDel="00000000" w:rsidP="00000000" w:rsidRDefault="00000000" w:rsidRPr="00000000" w14:paraId="0000000B">
            <w:pPr>
              <w:widowControl w:val="1"/>
              <w:spacing w:after="0" w:lineRule="auto"/>
              <w:ind w:left="41" w:firstLine="0"/>
              <w:jc w:val="both"/>
              <w:rPr>
                <w:color w:val="000000"/>
                <w:sz w:val="24"/>
                <w:szCs w:val="24"/>
              </w:rPr>
            </w:pPr>
            <w:r w:rsidDel="00000000" w:rsidR="00000000" w:rsidRPr="00000000">
              <w:rPr>
                <w:color w:val="000000"/>
                <w:sz w:val="24"/>
                <w:szCs w:val="24"/>
                <w:rtl w:val="0"/>
              </w:rPr>
              <w:t xml:space="preserve">and </w:t>
            </w:r>
          </w:p>
          <w:p w:rsidR="00000000" w:rsidDel="00000000" w:rsidP="00000000" w:rsidRDefault="00000000" w:rsidRPr="00000000" w14:paraId="0000000C">
            <w:pPr>
              <w:widowControl w:val="1"/>
              <w:pBdr>
                <w:top w:color="000000" w:space="0" w:sz="0" w:val="none"/>
                <w:left w:color="000000" w:space="0" w:sz="0" w:val="none"/>
                <w:bottom w:color="000000" w:space="0" w:sz="0" w:val="none"/>
                <w:right w:color="000000" w:space="0" w:sz="0" w:val="none"/>
                <w:between w:color="000000" w:space="0" w:sz="0" w:val="none"/>
              </w:pBdr>
              <w:spacing w:after="0" w:lineRule="auto"/>
              <w:ind w:left="41" w:firstLine="0"/>
              <w:jc w:val="both"/>
              <w:rPr>
                <w:color w:val="000000"/>
                <w:sz w:val="24"/>
                <w:szCs w:val="24"/>
              </w:rPr>
            </w:pPr>
            <w:r w:rsidDel="00000000" w:rsidR="00000000" w:rsidRPr="00000000">
              <w:rPr>
                <w:color w:val="000000"/>
                <w:sz w:val="24"/>
                <w:szCs w:val="24"/>
                <w:rtl w:val="0"/>
              </w:rPr>
              <w:t xml:space="preserve">National Institute of Biomedical Genomics  (NIBMG), Kalyani-741251</w:t>
            </w:r>
          </w:p>
        </w:tc>
      </w:tr>
      <w:tr>
        <w:trPr>
          <w:cantSplit w:val="0"/>
          <w:tblHeader w:val="0"/>
        </w:trPr>
        <w:tc>
          <w:tcPr/>
          <w:p w:rsidR="00000000" w:rsidDel="00000000" w:rsidP="00000000" w:rsidRDefault="00000000" w:rsidRPr="00000000" w14:paraId="0000000D">
            <w:pPr>
              <w:spacing w:after="0" w:lineRule="auto"/>
              <w:jc w:val="both"/>
              <w:rPr>
                <w:b w:val="1"/>
                <w:sz w:val="24"/>
                <w:szCs w:val="24"/>
              </w:rPr>
            </w:pPr>
            <w:r w:rsidDel="00000000" w:rsidR="00000000" w:rsidRPr="00000000">
              <w:rPr>
                <w:b w:val="1"/>
                <w:sz w:val="24"/>
                <w:szCs w:val="24"/>
                <w:rtl w:val="0"/>
              </w:rPr>
              <w:t xml:space="preserve">Principal Investigator</w:t>
            </w:r>
          </w:p>
        </w:tc>
        <w:tc>
          <w:tcPr/>
          <w:p w:rsidR="00000000" w:rsidDel="00000000" w:rsidP="00000000" w:rsidRDefault="00000000" w:rsidRPr="00000000" w14:paraId="0000000E">
            <w:pPr>
              <w:widowControl w:val="1"/>
              <w:spacing w:after="0" w:lineRule="auto"/>
              <w:jc w:val="both"/>
              <w:rPr/>
            </w:pPr>
            <w:r w:rsidDel="00000000" w:rsidR="00000000" w:rsidRPr="00000000">
              <w:rPr>
                <w:rtl w:val="0"/>
              </w:rPr>
              <w:t xml:space="preserve">Dr. </w:t>
            </w:r>
            <w:r w:rsidDel="00000000" w:rsidR="00000000" w:rsidRPr="00000000">
              <w:rPr>
                <w:color w:val="191919"/>
                <w:sz w:val="26"/>
                <w:szCs w:val="26"/>
                <w:rtl w:val="0"/>
              </w:rPr>
              <w:t xml:space="preserve">Jain Prateek Vijay</w:t>
            </w:r>
            <w:r w:rsidDel="00000000" w:rsidR="00000000" w:rsidRPr="00000000">
              <w:rPr>
                <w:rtl w:val="0"/>
              </w:rPr>
            </w:r>
          </w:p>
          <w:p w:rsidR="00000000" w:rsidDel="00000000" w:rsidP="00000000" w:rsidRDefault="00000000" w:rsidRPr="00000000" w14:paraId="0000000F">
            <w:pPr>
              <w:spacing w:after="0" w:lineRule="auto"/>
              <w:jc w:val="both"/>
              <w:rPr>
                <w:sz w:val="24"/>
                <w:szCs w:val="24"/>
              </w:rPr>
            </w:pPr>
            <w:r w:rsidDel="00000000" w:rsidR="00000000" w:rsidRPr="00000000">
              <w:rPr>
                <w:sz w:val="24"/>
                <w:szCs w:val="24"/>
                <w:rtl w:val="0"/>
              </w:rPr>
              <w:t xml:space="preserve">Tata Medical Center (TMC), Kolkata-700160 </w:t>
            </w:r>
          </w:p>
          <w:p w:rsidR="00000000" w:rsidDel="00000000" w:rsidP="00000000" w:rsidRDefault="00000000" w:rsidRPr="00000000" w14:paraId="00000010">
            <w:pPr>
              <w:spacing w:after="0" w:lineRule="auto"/>
              <w:jc w:val="both"/>
              <w:rPr>
                <w:sz w:val="24"/>
                <w:szCs w:val="24"/>
              </w:rPr>
            </w:pPr>
            <w:r w:rsidDel="00000000" w:rsidR="00000000" w:rsidRPr="00000000">
              <w:rPr>
                <w:sz w:val="24"/>
                <w:szCs w:val="24"/>
                <w:rtl w:val="0"/>
              </w:rPr>
              <w:t xml:space="preserve">Sandeep Singh</w:t>
            </w:r>
          </w:p>
          <w:p w:rsidR="00000000" w:rsidDel="00000000" w:rsidP="00000000" w:rsidRDefault="00000000" w:rsidRPr="00000000" w14:paraId="00000011">
            <w:pPr>
              <w:spacing w:after="0" w:lineRule="auto"/>
              <w:jc w:val="both"/>
              <w:rPr>
                <w:sz w:val="24"/>
                <w:szCs w:val="24"/>
              </w:rPr>
            </w:pPr>
            <w:r w:rsidDel="00000000" w:rsidR="00000000" w:rsidRPr="00000000">
              <w:rPr>
                <w:sz w:val="24"/>
                <w:szCs w:val="24"/>
                <w:rtl w:val="0"/>
              </w:rPr>
              <w:t xml:space="preserve">National Institute of Biomedical Genomics (NIBMG), Kalyani-741251</w:t>
            </w:r>
          </w:p>
        </w:tc>
      </w:tr>
      <w:tr>
        <w:trPr>
          <w:cantSplit w:val="0"/>
          <w:tblHeader w:val="0"/>
        </w:trPr>
        <w:tc>
          <w:tcPr/>
          <w:p w:rsidR="00000000" w:rsidDel="00000000" w:rsidP="00000000" w:rsidRDefault="00000000" w:rsidRPr="00000000" w14:paraId="00000012">
            <w:pPr>
              <w:spacing w:after="0" w:lineRule="auto"/>
              <w:jc w:val="both"/>
              <w:rPr>
                <w:b w:val="1"/>
                <w:sz w:val="24"/>
                <w:szCs w:val="24"/>
              </w:rPr>
            </w:pPr>
            <w:r w:rsidDel="00000000" w:rsidR="00000000" w:rsidRPr="00000000">
              <w:rPr>
                <w:b w:val="1"/>
                <w:sz w:val="24"/>
                <w:szCs w:val="24"/>
                <w:rtl w:val="0"/>
              </w:rPr>
              <w:t xml:space="preserve">Co</w:t>
            </w:r>
            <w:r w:rsidDel="00000000" w:rsidR="00000000" w:rsidRPr="00000000">
              <w:rPr>
                <w:b w:val="1"/>
                <w:rtl w:val="0"/>
              </w:rPr>
              <w:t xml:space="preserve">-</w:t>
            </w:r>
            <w:r w:rsidDel="00000000" w:rsidR="00000000" w:rsidRPr="00000000">
              <w:rPr>
                <w:b w:val="1"/>
                <w:sz w:val="24"/>
                <w:szCs w:val="24"/>
                <w:rtl w:val="0"/>
              </w:rPr>
              <w:t xml:space="preserve">investigator</w:t>
            </w:r>
          </w:p>
        </w:tc>
        <w:tc>
          <w:tcPr/>
          <w:p w:rsidR="00000000" w:rsidDel="00000000" w:rsidP="00000000" w:rsidRDefault="00000000" w:rsidRPr="00000000" w14:paraId="00000013">
            <w:pPr>
              <w:widowControl w:val="1"/>
              <w:spacing w:after="0" w:lineRule="auto"/>
              <w:rPr/>
            </w:pPr>
            <w:r w:rsidDel="00000000" w:rsidR="00000000" w:rsidRPr="00000000">
              <w:rPr>
                <w:rtl w:val="0"/>
              </w:rPr>
              <w:t xml:space="preserve">Dr. Pattatheyil Arun, TMC, Kolkata</w:t>
            </w:r>
            <w:r w:rsidDel="00000000" w:rsidR="00000000" w:rsidRPr="00000000">
              <w:rPr>
                <w:rtl w:val="0"/>
              </w:rPr>
            </w:r>
          </w:p>
          <w:p w:rsidR="00000000" w:rsidDel="00000000" w:rsidP="00000000" w:rsidRDefault="00000000" w:rsidRPr="00000000" w14:paraId="00000014">
            <w:pPr>
              <w:widowControl w:val="1"/>
              <w:spacing w:after="0" w:lineRule="auto"/>
              <w:ind w:left="134" w:hanging="134"/>
              <w:rPr>
                <w:sz w:val="24"/>
                <w:szCs w:val="24"/>
              </w:rPr>
            </w:pPr>
            <w:r w:rsidDel="00000000" w:rsidR="00000000" w:rsidRPr="00000000">
              <w:rPr>
                <w:sz w:val="24"/>
                <w:szCs w:val="24"/>
                <w:rtl w:val="0"/>
              </w:rPr>
              <w:t xml:space="preserve">Dr. Indu Arun, TMC, Kolkat</w:t>
            </w:r>
            <w:r w:rsidDel="00000000" w:rsidR="00000000" w:rsidRPr="00000000">
              <w:rPr>
                <w:rtl w:val="0"/>
              </w:rPr>
              <w:t xml:space="preserve">a</w:t>
            </w:r>
            <w:r w:rsidDel="00000000" w:rsidR="00000000" w:rsidRPr="00000000">
              <w:rPr>
                <w:rtl w:val="0"/>
              </w:rPr>
            </w:r>
          </w:p>
        </w:tc>
      </w:tr>
    </w:tbl>
    <w:p w:rsidR="00000000" w:rsidDel="00000000" w:rsidP="00000000" w:rsidRDefault="00000000" w:rsidRPr="00000000" w14:paraId="00000015">
      <w:pPr>
        <w:spacing w:after="0" w:lineRule="auto"/>
        <w:jc w:val="both"/>
        <w:rPr>
          <w:b w:val="1"/>
          <w:sz w:val="24"/>
          <w:szCs w:val="24"/>
        </w:rPr>
      </w:pPr>
      <w:r w:rsidDel="00000000" w:rsidR="00000000" w:rsidRPr="00000000">
        <w:rPr>
          <w:rtl w:val="0"/>
        </w:rPr>
      </w:r>
    </w:p>
    <w:p w:rsidR="00000000" w:rsidDel="00000000" w:rsidP="00000000" w:rsidRDefault="00000000" w:rsidRPr="00000000" w14:paraId="00000016">
      <w:pPr>
        <w:spacing w:after="0" w:lineRule="auto"/>
        <w:jc w:val="both"/>
        <w:rPr>
          <w:b w:val="1"/>
          <w:sz w:val="24"/>
          <w:szCs w:val="24"/>
        </w:rPr>
      </w:pPr>
      <w:r w:rsidDel="00000000" w:rsidR="00000000" w:rsidRPr="00000000">
        <w:rPr>
          <w:rtl w:val="0"/>
        </w:rPr>
      </w:r>
    </w:p>
    <w:p w:rsidR="00000000" w:rsidDel="00000000" w:rsidP="00000000" w:rsidRDefault="00000000" w:rsidRPr="00000000" w14:paraId="00000017">
      <w:pPr>
        <w:spacing w:after="0" w:lineRule="auto"/>
        <w:jc w:val="both"/>
        <w:rPr>
          <w:b w:val="1"/>
          <w:sz w:val="24"/>
          <w:szCs w:val="24"/>
        </w:rPr>
      </w:pPr>
      <w:r w:rsidDel="00000000" w:rsidR="00000000" w:rsidRPr="00000000">
        <w:rPr>
          <w:b w:val="1"/>
          <w:sz w:val="24"/>
          <w:szCs w:val="24"/>
          <w:rtl w:val="0"/>
        </w:rPr>
        <w:t xml:space="preserve">Confidentiality:</w:t>
      </w:r>
    </w:p>
    <w:p w:rsidR="00000000" w:rsidDel="00000000" w:rsidP="00000000" w:rsidRDefault="00000000" w:rsidRPr="00000000" w14:paraId="00000018">
      <w:pPr>
        <w:spacing w:after="0" w:lineRule="auto"/>
        <w:jc w:val="both"/>
        <w:rPr>
          <w:sz w:val="24"/>
          <w:szCs w:val="24"/>
        </w:rPr>
      </w:pPr>
      <w:r w:rsidDel="00000000" w:rsidR="00000000" w:rsidRPr="00000000">
        <w:rPr>
          <w:sz w:val="24"/>
          <w:szCs w:val="24"/>
          <w:rtl w:val="0"/>
        </w:rPr>
        <w:t xml:space="preserve">This document is confidential and the property of Tata Medical Center. No part of it may be transmitted, reproduced, published, or used without prior written authorization from the organization.</w:t>
      </w:r>
    </w:p>
    <w:p w:rsidR="00000000" w:rsidDel="00000000" w:rsidP="00000000" w:rsidRDefault="00000000" w:rsidRPr="00000000" w14:paraId="00000019">
      <w:pPr>
        <w:spacing w:after="0" w:lineRule="auto"/>
        <w:jc w:val="both"/>
        <w:rPr>
          <w:sz w:val="24"/>
          <w:szCs w:val="24"/>
        </w:rPr>
      </w:pPr>
      <w:r w:rsidDel="00000000" w:rsidR="00000000" w:rsidRPr="00000000">
        <w:rPr>
          <w:rtl w:val="0"/>
        </w:rPr>
      </w:r>
    </w:p>
    <w:p w:rsidR="00000000" w:rsidDel="00000000" w:rsidP="00000000" w:rsidRDefault="00000000" w:rsidRPr="00000000" w14:paraId="0000001A">
      <w:pPr>
        <w:spacing w:after="0" w:lineRule="auto"/>
        <w:jc w:val="both"/>
        <w:rPr>
          <w:b w:val="1"/>
          <w:sz w:val="24"/>
          <w:szCs w:val="24"/>
        </w:rPr>
      </w:pPr>
      <w:r w:rsidDel="00000000" w:rsidR="00000000" w:rsidRPr="00000000">
        <w:rPr>
          <w:b w:val="1"/>
          <w:sz w:val="24"/>
          <w:szCs w:val="24"/>
          <w:rtl w:val="0"/>
        </w:rPr>
        <w:t xml:space="preserve">Statement </w:t>
        <w:tab/>
        <w:tab/>
        <w:tab/>
        <w:tab/>
        <w:tab/>
        <w:tab/>
        <w:tab/>
        <w:tab/>
        <w:tab/>
        <w:tab/>
        <w:tab/>
        <w:tab/>
        <w:t xml:space="preserve"> compliance:</w:t>
      </w:r>
    </w:p>
    <w:p w:rsidR="00000000" w:rsidDel="00000000" w:rsidP="00000000" w:rsidRDefault="00000000" w:rsidRPr="00000000" w14:paraId="0000001B">
      <w:pPr>
        <w:spacing w:after="0" w:lineRule="auto"/>
        <w:jc w:val="both"/>
        <w:rPr>
          <w:sz w:val="24"/>
          <w:szCs w:val="24"/>
        </w:rPr>
      </w:pPr>
      <w:r w:rsidDel="00000000" w:rsidR="00000000" w:rsidRPr="00000000">
        <w:rPr>
          <w:sz w:val="24"/>
          <w:szCs w:val="24"/>
          <w:rtl w:val="0"/>
        </w:rPr>
        <w:t xml:space="preserve">This document is a protocol for clinical research study. The study will be conducted in compliance with all stipulations of this protocol. The conditions of the ethics committee approval and with adherence to Good Clinical Practice.</w:t>
      </w:r>
    </w:p>
    <w:p w:rsidR="00000000" w:rsidDel="00000000" w:rsidP="00000000" w:rsidRDefault="00000000" w:rsidRPr="00000000" w14:paraId="0000001C">
      <w:pPr>
        <w:widowControl w:val="1"/>
        <w:spacing w:after="0" w:lineRule="auto"/>
        <w:jc w:val="both"/>
        <w:rPr>
          <w:b w:val="1"/>
          <w:color w:val="000000"/>
          <w:sz w:val="24"/>
          <w:szCs w:val="24"/>
        </w:rPr>
      </w:pPr>
      <w:bookmarkStart w:colFirst="0" w:colLast="0" w:name="_heading=h.gjdgxs" w:id="0"/>
      <w:bookmarkEnd w:id="0"/>
      <w:r w:rsidDel="00000000" w:rsidR="00000000" w:rsidRPr="00000000">
        <w:br w:type="page"/>
      </w:r>
      <w:r w:rsidDel="00000000" w:rsidR="00000000" w:rsidRPr="00000000">
        <w:rPr>
          <w:sz w:val="24"/>
          <w:szCs w:val="24"/>
          <w:rtl w:val="0"/>
        </w:rPr>
        <w:t xml:space="preserve">                                                                       </w:t>
      </w:r>
      <w:r w:rsidDel="00000000" w:rsidR="00000000" w:rsidRPr="00000000">
        <w:rPr>
          <w:b w:val="1"/>
          <w:color w:val="000000"/>
          <w:sz w:val="24"/>
          <w:szCs w:val="24"/>
          <w:rtl w:val="0"/>
        </w:rPr>
        <w:t xml:space="preserve">SYNOPSIS</w:t>
      </w:r>
    </w:p>
    <w:p w:rsidR="00000000" w:rsidDel="00000000" w:rsidP="00000000" w:rsidRDefault="00000000" w:rsidRPr="00000000" w14:paraId="0000001D">
      <w:pPr>
        <w:spacing w:after="0" w:lineRule="auto"/>
        <w:jc w:val="both"/>
        <w:rPr>
          <w:b w:val="1"/>
          <w:color w:val="000000"/>
          <w:sz w:val="24"/>
          <w:szCs w:val="24"/>
        </w:rPr>
      </w:pPr>
      <w:r w:rsidDel="00000000" w:rsidR="00000000" w:rsidRPr="00000000">
        <w:rPr>
          <w:b w:val="1"/>
          <w:color w:val="000000"/>
          <w:sz w:val="24"/>
          <w:szCs w:val="24"/>
          <w:rtl w:val="0"/>
        </w:rPr>
        <w:t xml:space="preserve">Title: </w:t>
      </w:r>
    </w:p>
    <w:p w:rsidR="00000000" w:rsidDel="00000000" w:rsidP="00000000" w:rsidRDefault="00000000" w:rsidRPr="00000000" w14:paraId="0000001E">
      <w:pPr>
        <w:spacing w:after="0" w:lineRule="auto"/>
        <w:jc w:val="both"/>
        <w:rPr>
          <w:color w:val="000000"/>
          <w:sz w:val="24"/>
          <w:szCs w:val="24"/>
        </w:rPr>
      </w:pPr>
      <w:r w:rsidDel="00000000" w:rsidR="00000000" w:rsidRPr="00000000">
        <w:rPr>
          <w:color w:val="000000"/>
          <w:sz w:val="24"/>
          <w:szCs w:val="24"/>
          <w:rtl w:val="0"/>
        </w:rPr>
        <w:t xml:space="preserve">Evaluation of spatial ecology of Tie2-activated myofibroblastic-CAFs as potential prognostic indicator of oral cancer</w:t>
      </w:r>
    </w:p>
    <w:p w:rsidR="00000000" w:rsidDel="00000000" w:rsidP="00000000" w:rsidRDefault="00000000" w:rsidRPr="00000000" w14:paraId="0000001F">
      <w:pPr>
        <w:spacing w:after="0" w:lineRule="auto"/>
        <w:jc w:val="both"/>
        <w:rPr>
          <w:color w:val="000000"/>
          <w:sz w:val="24"/>
          <w:szCs w:val="24"/>
        </w:rPr>
      </w:pPr>
      <w:r w:rsidDel="00000000" w:rsidR="00000000" w:rsidRPr="00000000">
        <w:rPr>
          <w:rtl w:val="0"/>
        </w:rPr>
      </w:r>
    </w:p>
    <w:p w:rsidR="00000000" w:rsidDel="00000000" w:rsidP="00000000" w:rsidRDefault="00000000" w:rsidRPr="00000000" w14:paraId="00000020">
      <w:pPr>
        <w:widowControl w:val="1"/>
        <w:numPr>
          <w:ilvl w:val="0"/>
          <w:numId w:val="2"/>
        </w:numPr>
        <w:spacing w:after="0" w:lineRule="auto"/>
        <w:ind w:left="0" w:firstLine="0"/>
        <w:jc w:val="both"/>
        <w:rPr>
          <w:b w:val="1"/>
          <w:smallCaps w:val="1"/>
          <w:color w:val="000000"/>
          <w:sz w:val="24"/>
          <w:szCs w:val="24"/>
        </w:rPr>
      </w:pPr>
      <w:r w:rsidDel="00000000" w:rsidR="00000000" w:rsidRPr="00000000">
        <w:rPr>
          <w:b w:val="1"/>
          <w:smallCaps w:val="1"/>
          <w:color w:val="000000"/>
          <w:sz w:val="24"/>
          <w:szCs w:val="24"/>
          <w:rtl w:val="0"/>
        </w:rPr>
        <w:t xml:space="preserve">INVESTIGATORS AND FACILITIES:</w:t>
      </w:r>
    </w:p>
    <w:p w:rsidR="00000000" w:rsidDel="00000000" w:rsidP="00000000" w:rsidRDefault="00000000" w:rsidRPr="00000000" w14:paraId="00000021">
      <w:pPr>
        <w:widowControl w:val="1"/>
        <w:spacing w:after="0" w:lineRule="auto"/>
        <w:jc w:val="both"/>
        <w:rPr>
          <w:b w:val="1"/>
          <w:smallCaps w:val="1"/>
          <w:color w:val="000000"/>
          <w:sz w:val="24"/>
          <w:szCs w:val="24"/>
        </w:rPr>
      </w:pPr>
      <w:r w:rsidDel="00000000" w:rsidR="00000000" w:rsidRPr="00000000">
        <w:rPr>
          <w:rtl w:val="0"/>
        </w:rPr>
      </w:r>
    </w:p>
    <w:p w:rsidR="00000000" w:rsidDel="00000000" w:rsidP="00000000" w:rsidRDefault="00000000" w:rsidRPr="00000000" w14:paraId="00000022">
      <w:pPr>
        <w:widowControl w:val="1"/>
        <w:numPr>
          <w:ilvl w:val="1"/>
          <w:numId w:val="3"/>
        </w:numPr>
        <w:spacing w:after="0" w:lineRule="auto"/>
        <w:ind w:left="0" w:firstLine="0"/>
        <w:jc w:val="both"/>
        <w:rPr>
          <w:b w:val="1"/>
          <w:color w:val="000000"/>
          <w:sz w:val="24"/>
          <w:szCs w:val="24"/>
        </w:rPr>
      </w:pPr>
      <w:r w:rsidDel="00000000" w:rsidR="00000000" w:rsidRPr="00000000">
        <w:rPr>
          <w:b w:val="1"/>
          <w:color w:val="000000"/>
          <w:sz w:val="24"/>
          <w:szCs w:val="24"/>
          <w:rtl w:val="0"/>
        </w:rPr>
        <w:t xml:space="preserve">Study Locations</w:t>
      </w:r>
    </w:p>
    <w:p w:rsidR="00000000" w:rsidDel="00000000" w:rsidP="00000000" w:rsidRDefault="00000000" w:rsidRPr="00000000" w14:paraId="00000023">
      <w:pPr>
        <w:widowControl w:val="1"/>
        <w:spacing w:after="0" w:lineRule="auto"/>
        <w:jc w:val="both"/>
        <w:rPr>
          <w:color w:val="000000"/>
          <w:sz w:val="24"/>
          <w:szCs w:val="24"/>
        </w:rPr>
      </w:pPr>
      <w:r w:rsidDel="00000000" w:rsidR="00000000" w:rsidRPr="00000000">
        <w:rPr>
          <w:color w:val="000000"/>
          <w:sz w:val="24"/>
          <w:szCs w:val="24"/>
          <w:rtl w:val="0"/>
        </w:rPr>
        <w:t xml:space="preserve">Tata Medical Center, Newtown, Kolkata 700160.</w:t>
      </w:r>
    </w:p>
    <w:p w:rsidR="00000000" w:rsidDel="00000000" w:rsidP="00000000" w:rsidRDefault="00000000" w:rsidRPr="00000000" w14:paraId="00000024">
      <w:pPr>
        <w:widowControl w:val="1"/>
        <w:spacing w:after="0" w:lineRule="auto"/>
        <w:jc w:val="both"/>
        <w:rPr>
          <w:color w:val="000000"/>
          <w:sz w:val="24"/>
          <w:szCs w:val="24"/>
        </w:rPr>
      </w:pPr>
      <w:r w:rsidDel="00000000" w:rsidR="00000000" w:rsidRPr="00000000">
        <w:rPr>
          <w:color w:val="000000"/>
          <w:sz w:val="24"/>
          <w:szCs w:val="24"/>
          <w:rtl w:val="0"/>
        </w:rPr>
        <w:t xml:space="preserve">National Institute of Biomedical Genomics, Kalyani, 741251.</w:t>
      </w:r>
    </w:p>
    <w:p w:rsidR="00000000" w:rsidDel="00000000" w:rsidP="00000000" w:rsidRDefault="00000000" w:rsidRPr="00000000" w14:paraId="00000025">
      <w:pPr>
        <w:widowControl w:val="1"/>
        <w:spacing w:after="0" w:lineRule="auto"/>
        <w:jc w:val="both"/>
        <w:rPr>
          <w:color w:val="000000"/>
          <w:sz w:val="24"/>
          <w:szCs w:val="24"/>
        </w:rPr>
      </w:pPr>
      <w:r w:rsidDel="00000000" w:rsidR="00000000" w:rsidRPr="00000000">
        <w:rPr>
          <w:rtl w:val="0"/>
        </w:rPr>
      </w:r>
    </w:p>
    <w:p w:rsidR="00000000" w:rsidDel="00000000" w:rsidP="00000000" w:rsidRDefault="00000000" w:rsidRPr="00000000" w14:paraId="00000026">
      <w:pPr>
        <w:widowControl w:val="1"/>
        <w:numPr>
          <w:ilvl w:val="1"/>
          <w:numId w:val="3"/>
        </w:numPr>
        <w:spacing w:after="0" w:lineRule="auto"/>
        <w:ind w:left="0" w:firstLine="0"/>
        <w:jc w:val="both"/>
        <w:rPr>
          <w:b w:val="1"/>
          <w:color w:val="000000"/>
          <w:sz w:val="24"/>
          <w:szCs w:val="24"/>
        </w:rPr>
      </w:pPr>
      <w:r w:rsidDel="00000000" w:rsidR="00000000" w:rsidRPr="00000000">
        <w:rPr>
          <w:b w:val="1"/>
          <w:color w:val="000000"/>
          <w:sz w:val="24"/>
          <w:szCs w:val="24"/>
          <w:rtl w:val="0"/>
        </w:rPr>
        <w:t xml:space="preserve">Study Management</w:t>
      </w:r>
    </w:p>
    <w:p w:rsidR="00000000" w:rsidDel="00000000" w:rsidP="00000000" w:rsidRDefault="00000000" w:rsidRPr="00000000" w14:paraId="00000027">
      <w:pPr>
        <w:spacing w:after="0" w:lineRule="auto"/>
        <w:jc w:val="both"/>
        <w:rPr>
          <w:sz w:val="24"/>
          <w:szCs w:val="24"/>
        </w:rPr>
      </w:pPr>
      <w:r w:rsidDel="00000000" w:rsidR="00000000" w:rsidRPr="00000000">
        <w:rPr>
          <w:sz w:val="24"/>
          <w:szCs w:val="24"/>
          <w:rtl w:val="0"/>
        </w:rPr>
        <w:t xml:space="preserve">The study will be coordinated by the principal investigator and co investigators at Tata Medical Center, Kolkata. Informed consent discussions and clinical assessments will be conducted by the principal investigator. The tissue samples from the patients will be processed at National Institute of Biomedical Genomics, Kalyani.</w:t>
      </w:r>
    </w:p>
    <w:p w:rsidR="00000000" w:rsidDel="00000000" w:rsidP="00000000" w:rsidRDefault="00000000" w:rsidRPr="00000000" w14:paraId="00000028">
      <w:pPr>
        <w:spacing w:after="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29">
      <w:pPr>
        <w:widowControl w:val="1"/>
        <w:numPr>
          <w:ilvl w:val="2"/>
          <w:numId w:val="3"/>
        </w:numPr>
        <w:spacing w:after="0" w:lineRule="auto"/>
        <w:ind w:left="0" w:firstLine="0"/>
        <w:jc w:val="both"/>
        <w:rPr>
          <w:b w:val="1"/>
          <w:color w:val="000000"/>
          <w:sz w:val="24"/>
          <w:szCs w:val="24"/>
        </w:rPr>
      </w:pPr>
      <w:r w:rsidDel="00000000" w:rsidR="00000000" w:rsidRPr="00000000">
        <w:rPr>
          <w:b w:val="1"/>
          <w:color w:val="000000"/>
          <w:sz w:val="24"/>
          <w:szCs w:val="24"/>
          <w:rtl w:val="0"/>
        </w:rPr>
        <w:t xml:space="preserve">Principal Investigator</w:t>
      </w:r>
    </w:p>
    <w:p w:rsidR="00000000" w:rsidDel="00000000" w:rsidP="00000000" w:rsidRDefault="00000000" w:rsidRPr="00000000" w14:paraId="0000002A">
      <w:pPr>
        <w:widowControl w:val="1"/>
        <w:spacing w:after="0" w:lineRule="auto"/>
        <w:jc w:val="both"/>
        <w:rPr>
          <w:color w:val="000000"/>
          <w:sz w:val="24"/>
          <w:szCs w:val="24"/>
        </w:rPr>
      </w:pPr>
      <w:r w:rsidDel="00000000" w:rsidR="00000000" w:rsidRPr="00000000">
        <w:rPr>
          <w:color w:val="000000"/>
          <w:sz w:val="24"/>
          <w:szCs w:val="24"/>
          <w:rtl w:val="0"/>
        </w:rPr>
        <w:t xml:space="preserve">Dr. </w:t>
      </w:r>
      <w:r w:rsidDel="00000000" w:rsidR="00000000" w:rsidRPr="00000000">
        <w:rPr>
          <w:color w:val="191919"/>
          <w:sz w:val="26"/>
          <w:szCs w:val="26"/>
          <w:rtl w:val="0"/>
        </w:rPr>
        <w:t xml:space="preserve">Jain Prateek Vijay, Consultant (Head and Neck Surgery)</w:t>
      </w:r>
      <w:r w:rsidDel="00000000" w:rsidR="00000000" w:rsidRPr="00000000">
        <w:rPr>
          <w:color w:val="000000"/>
          <w:sz w:val="24"/>
          <w:szCs w:val="24"/>
          <w:rtl w:val="0"/>
        </w:rPr>
        <w:t xml:space="preserve">, Tata Medical Center, Newtown, Kolkata 700160; +91- 8697216112</w:t>
      </w:r>
    </w:p>
    <w:p w:rsidR="00000000" w:rsidDel="00000000" w:rsidP="00000000" w:rsidRDefault="00000000" w:rsidRPr="00000000" w14:paraId="0000002B">
      <w:pPr>
        <w:widowControl w:val="1"/>
        <w:spacing w:after="0" w:lineRule="auto"/>
        <w:jc w:val="both"/>
        <w:rPr>
          <w:color w:val="000000"/>
          <w:sz w:val="24"/>
          <w:szCs w:val="24"/>
        </w:rPr>
      </w:pPr>
      <w:r w:rsidDel="00000000" w:rsidR="00000000" w:rsidRPr="00000000">
        <w:rPr>
          <w:color w:val="000000"/>
          <w:sz w:val="24"/>
          <w:szCs w:val="24"/>
          <w:rtl w:val="0"/>
        </w:rPr>
        <w:t xml:space="preserve">Dr. Sandeep Singh, Professor, National Institute of Biomedical Genomics, Kalyani-741251</w:t>
      </w:r>
    </w:p>
    <w:p w:rsidR="00000000" w:rsidDel="00000000" w:rsidP="00000000" w:rsidRDefault="00000000" w:rsidRPr="00000000" w14:paraId="0000002C">
      <w:pPr>
        <w:widowControl w:val="1"/>
        <w:spacing w:after="0" w:lineRule="auto"/>
        <w:jc w:val="both"/>
        <w:rPr>
          <w:color w:val="000000"/>
          <w:sz w:val="24"/>
          <w:szCs w:val="24"/>
        </w:rPr>
      </w:pPr>
      <w:r w:rsidDel="00000000" w:rsidR="00000000" w:rsidRPr="00000000">
        <w:rPr>
          <w:rtl w:val="0"/>
        </w:rPr>
      </w:r>
    </w:p>
    <w:p w:rsidR="00000000" w:rsidDel="00000000" w:rsidP="00000000" w:rsidRDefault="00000000" w:rsidRPr="00000000" w14:paraId="0000002D">
      <w:pPr>
        <w:widowControl w:val="1"/>
        <w:numPr>
          <w:ilvl w:val="2"/>
          <w:numId w:val="3"/>
        </w:numPr>
        <w:spacing w:after="0" w:lineRule="auto"/>
        <w:ind w:left="0" w:firstLine="0"/>
        <w:jc w:val="both"/>
        <w:rPr>
          <w:b w:val="1"/>
          <w:color w:val="000000"/>
          <w:sz w:val="24"/>
          <w:szCs w:val="24"/>
        </w:rPr>
      </w:pPr>
      <w:r w:rsidDel="00000000" w:rsidR="00000000" w:rsidRPr="00000000">
        <w:rPr>
          <w:b w:val="1"/>
          <w:color w:val="000000"/>
          <w:sz w:val="24"/>
          <w:szCs w:val="24"/>
          <w:rtl w:val="0"/>
        </w:rPr>
        <w:t xml:space="preserve">Statistician</w:t>
      </w:r>
    </w:p>
    <w:p w:rsidR="00000000" w:rsidDel="00000000" w:rsidP="00000000" w:rsidRDefault="00000000" w:rsidRPr="00000000" w14:paraId="0000002E">
      <w:pPr>
        <w:widowControl w:val="1"/>
        <w:spacing w:after="0" w:lineRule="auto"/>
        <w:jc w:val="both"/>
        <w:rPr>
          <w:color w:val="000000"/>
          <w:sz w:val="24"/>
          <w:szCs w:val="24"/>
        </w:rPr>
      </w:pPr>
      <w:r w:rsidDel="00000000" w:rsidR="00000000" w:rsidRPr="00000000">
        <w:rPr>
          <w:color w:val="000000"/>
          <w:sz w:val="24"/>
          <w:szCs w:val="24"/>
          <w:rtl w:val="0"/>
        </w:rPr>
        <w:t xml:space="preserve">Mr. Subir Sinha, Statistician, Tata Medical Center, Newtown, Kolkata 700156</w:t>
      </w:r>
    </w:p>
    <w:p w:rsidR="00000000" w:rsidDel="00000000" w:rsidP="00000000" w:rsidRDefault="00000000" w:rsidRPr="00000000" w14:paraId="0000002F">
      <w:pPr>
        <w:widowControl w:val="1"/>
        <w:spacing w:after="0" w:lineRule="auto"/>
        <w:jc w:val="both"/>
        <w:rPr>
          <w:color w:val="000000"/>
          <w:sz w:val="24"/>
          <w:szCs w:val="24"/>
        </w:rPr>
      </w:pPr>
      <w:r w:rsidDel="00000000" w:rsidR="00000000" w:rsidRPr="00000000">
        <w:rPr>
          <w:color w:val="000000"/>
          <w:sz w:val="24"/>
          <w:szCs w:val="24"/>
          <w:rtl w:val="0"/>
        </w:rPr>
        <w:t xml:space="preserve">The analysis tool provided</w:t>
      </w:r>
      <w:r w:rsidDel="00000000" w:rsidR="00000000" w:rsidRPr="00000000">
        <w:rPr>
          <w:sz w:val="24"/>
          <w:szCs w:val="24"/>
          <w:rtl w:val="0"/>
        </w:rPr>
        <w:t xml:space="preserve"> </w:t>
      </w:r>
      <w:r w:rsidDel="00000000" w:rsidR="00000000" w:rsidRPr="00000000">
        <w:rPr>
          <w:color w:val="000000"/>
          <w:sz w:val="24"/>
          <w:szCs w:val="24"/>
          <w:rtl w:val="0"/>
        </w:rPr>
        <w:t xml:space="preserve">with the Spatial Technology platform and expertise on R programming methods available with Dr. Sandeep Singh, National Institute of Biomedical Genomics. </w:t>
      </w:r>
    </w:p>
    <w:p w:rsidR="00000000" w:rsidDel="00000000" w:rsidP="00000000" w:rsidRDefault="00000000" w:rsidRPr="00000000" w14:paraId="00000030">
      <w:pPr>
        <w:widowControl w:val="1"/>
        <w:spacing w:after="0" w:lineRule="auto"/>
        <w:jc w:val="both"/>
        <w:rPr>
          <w:color w:val="000000"/>
          <w:sz w:val="24"/>
          <w:szCs w:val="24"/>
        </w:rPr>
      </w:pPr>
      <w:r w:rsidDel="00000000" w:rsidR="00000000" w:rsidRPr="00000000">
        <w:rPr>
          <w:rtl w:val="0"/>
        </w:rPr>
      </w:r>
    </w:p>
    <w:p w:rsidR="00000000" w:rsidDel="00000000" w:rsidP="00000000" w:rsidRDefault="00000000" w:rsidRPr="00000000" w14:paraId="00000031">
      <w:pPr>
        <w:widowControl w:val="1"/>
        <w:numPr>
          <w:ilvl w:val="1"/>
          <w:numId w:val="3"/>
        </w:numPr>
        <w:spacing w:after="0" w:lineRule="auto"/>
        <w:ind w:left="0" w:firstLine="0"/>
        <w:jc w:val="both"/>
        <w:rPr>
          <w:b w:val="1"/>
          <w:color w:val="000000"/>
          <w:sz w:val="24"/>
          <w:szCs w:val="24"/>
        </w:rPr>
      </w:pPr>
      <w:r w:rsidDel="00000000" w:rsidR="00000000" w:rsidRPr="00000000">
        <w:rPr>
          <w:b w:val="1"/>
          <w:color w:val="000000"/>
          <w:sz w:val="24"/>
          <w:szCs w:val="24"/>
          <w:rtl w:val="0"/>
        </w:rPr>
        <w:t xml:space="preserve">Funding and Resources</w:t>
      </w:r>
    </w:p>
    <w:p w:rsidR="00000000" w:rsidDel="00000000" w:rsidP="00000000" w:rsidRDefault="00000000" w:rsidRPr="00000000" w14:paraId="00000032">
      <w:pPr>
        <w:widowControl w:val="1"/>
        <w:spacing w:after="0" w:lineRule="auto"/>
        <w:jc w:val="both"/>
        <w:rPr>
          <w:color w:val="000000"/>
          <w:sz w:val="24"/>
          <w:szCs w:val="24"/>
        </w:rPr>
      </w:pPr>
      <w:r w:rsidDel="00000000" w:rsidR="00000000" w:rsidRPr="00000000">
        <w:rPr>
          <w:color w:val="000000"/>
          <w:sz w:val="24"/>
          <w:szCs w:val="24"/>
          <w:rtl w:val="0"/>
        </w:rPr>
        <w:t xml:space="preserve">Currently, this is an investigator-initiated trial. Funding will be arranged by applying for the external grants. </w:t>
      </w:r>
    </w:p>
    <w:tbl>
      <w:tblPr>
        <w:tblStyle w:val="Table2"/>
        <w:tblW w:w="805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60"/>
        <w:gridCol w:w="1300"/>
        <w:gridCol w:w="1300"/>
        <w:gridCol w:w="2696"/>
        <w:tblGridChange w:id="0">
          <w:tblGrid>
            <w:gridCol w:w="2760"/>
            <w:gridCol w:w="1300"/>
            <w:gridCol w:w="1300"/>
            <w:gridCol w:w="2696"/>
          </w:tblGrid>
        </w:tblGridChange>
      </w:tblGrid>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3">
            <w:pPr>
              <w:rPr>
                <w:color w:val="000000"/>
                <w:sz w:val="24"/>
                <w:szCs w:val="24"/>
              </w:rPr>
            </w:pPr>
            <w:r w:rsidDel="00000000" w:rsidR="00000000" w:rsidRPr="00000000">
              <w:rPr>
                <w:b w:val="1"/>
                <w:sz w:val="24"/>
                <w:szCs w:val="24"/>
                <w:rtl w:val="0"/>
              </w:rPr>
              <w:t xml:space="preserve">Budget Details</w:t>
            </w:r>
            <w:r w:rsidDel="00000000" w:rsidR="00000000" w:rsidRPr="00000000">
              <w:rPr>
                <w:color w:val="000000"/>
                <w:sz w:val="24"/>
                <w:szCs w:val="24"/>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4">
            <w:pPr>
              <w:rPr>
                <w:color w:val="000000"/>
                <w:sz w:val="24"/>
                <w:szCs w:val="24"/>
              </w:rPr>
            </w:pPr>
            <w:r w:rsidDel="00000000" w:rsidR="00000000" w:rsidRPr="00000000">
              <w:rPr>
                <w:color w:val="000000"/>
                <w:sz w:val="24"/>
                <w:szCs w:val="24"/>
                <w:rtl w:val="0"/>
              </w:rPr>
              <w:t xml:space="preserve">Year 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5">
            <w:pPr>
              <w:rPr>
                <w:color w:val="000000"/>
                <w:sz w:val="24"/>
                <w:szCs w:val="24"/>
              </w:rPr>
            </w:pPr>
            <w:r w:rsidDel="00000000" w:rsidR="00000000" w:rsidRPr="00000000">
              <w:rPr>
                <w:color w:val="000000"/>
                <w:sz w:val="24"/>
                <w:szCs w:val="24"/>
                <w:rtl w:val="0"/>
              </w:rPr>
              <w:t xml:space="preserve">Year 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6">
            <w:pPr>
              <w:rPr>
                <w:color w:val="000000"/>
                <w:sz w:val="24"/>
                <w:szCs w:val="24"/>
              </w:rPr>
            </w:pPr>
            <w:r w:rsidDel="00000000" w:rsidR="00000000" w:rsidRPr="00000000">
              <w:rPr>
                <w:color w:val="000000"/>
                <w:sz w:val="24"/>
                <w:szCs w:val="24"/>
                <w:rtl w:val="0"/>
              </w:rPr>
              <w:t xml:space="preserve">Total</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7">
            <w:pPr>
              <w:spacing w:after="0" w:lineRule="auto"/>
              <w:rPr>
                <w:sz w:val="24"/>
                <w:szCs w:val="24"/>
              </w:rPr>
            </w:pPr>
            <w:r w:rsidDel="00000000" w:rsidR="00000000" w:rsidRPr="00000000">
              <w:rPr>
                <w:sz w:val="24"/>
                <w:szCs w:val="24"/>
                <w:rtl w:val="0"/>
              </w:rPr>
              <w:t xml:space="preserve">Project Associate I</w:t>
            </w:r>
          </w:p>
          <w:p w:rsidR="00000000" w:rsidDel="00000000" w:rsidP="00000000" w:rsidRDefault="00000000" w:rsidRPr="00000000" w14:paraId="00000038">
            <w:pPr>
              <w:spacing w:after="0" w:lineRule="auto"/>
              <w:rPr>
                <w:sz w:val="24"/>
                <w:szCs w:val="24"/>
              </w:rPr>
            </w:pPr>
            <w:r w:rsidDel="00000000" w:rsidR="00000000" w:rsidRPr="00000000">
              <w:rPr>
                <w:sz w:val="24"/>
                <w:szCs w:val="24"/>
                <w:rtl w:val="0"/>
              </w:rPr>
              <w:t xml:space="preserve">(Non-Net qualified)</w:t>
            </w:r>
          </w:p>
          <w:p w:rsidR="00000000" w:rsidDel="00000000" w:rsidP="00000000" w:rsidRDefault="00000000" w:rsidRPr="00000000" w14:paraId="00000039">
            <w:pPr>
              <w:spacing w:after="0" w:lineRule="auto"/>
              <w:rPr>
                <w:color w:val="000000"/>
                <w:sz w:val="24"/>
                <w:szCs w:val="24"/>
              </w:rPr>
            </w:pPr>
            <w:r w:rsidDel="00000000" w:rsidR="00000000" w:rsidRPr="00000000">
              <w:rPr>
                <w:sz w:val="24"/>
                <w:szCs w:val="24"/>
                <w:rtl w:val="0"/>
              </w:rPr>
              <w:t xml:space="preserve">HRA 27%</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3A">
            <w:pPr>
              <w:spacing w:after="0" w:lineRule="auto"/>
              <w:rPr>
                <w:color w:val="000000"/>
                <w:sz w:val="24"/>
                <w:szCs w:val="24"/>
              </w:rPr>
            </w:pPr>
            <w:r w:rsidDel="00000000" w:rsidR="00000000" w:rsidRPr="00000000">
              <w:rPr>
                <w:sz w:val="24"/>
                <w:szCs w:val="24"/>
                <w:rtl w:val="0"/>
              </w:rPr>
              <w:t xml:space="preserve">381000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3B">
            <w:pPr>
              <w:spacing w:after="0" w:lineRule="auto"/>
              <w:rPr>
                <w:color w:val="000000"/>
                <w:sz w:val="24"/>
                <w:szCs w:val="24"/>
              </w:rPr>
            </w:pPr>
            <w:r w:rsidDel="00000000" w:rsidR="00000000" w:rsidRPr="00000000">
              <w:rPr>
                <w:sz w:val="24"/>
                <w:szCs w:val="24"/>
                <w:rtl w:val="0"/>
              </w:rPr>
              <w:t xml:space="preserve">381000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3C">
            <w:pPr>
              <w:spacing w:after="0" w:lineRule="auto"/>
              <w:rPr>
                <w:color w:val="000000"/>
                <w:sz w:val="24"/>
                <w:szCs w:val="24"/>
              </w:rPr>
            </w:pPr>
            <w:r w:rsidDel="00000000" w:rsidR="00000000" w:rsidRPr="00000000">
              <w:rPr>
                <w:sz w:val="24"/>
                <w:szCs w:val="24"/>
                <w:rtl w:val="0"/>
              </w:rPr>
              <w:t xml:space="preserve">762000</w:t>
            </w:r>
            <w:r w:rsidDel="00000000" w:rsidR="00000000" w:rsidRPr="00000000">
              <w:rPr>
                <w:rtl w:val="0"/>
              </w:rPr>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D">
            <w:pPr>
              <w:rPr>
                <w:color w:val="000000"/>
                <w:sz w:val="24"/>
                <w:szCs w:val="24"/>
              </w:rPr>
            </w:pPr>
            <w:r w:rsidDel="00000000" w:rsidR="00000000" w:rsidRPr="00000000">
              <w:rPr>
                <w:color w:val="000000"/>
                <w:sz w:val="24"/>
                <w:szCs w:val="24"/>
                <w:rtl w:val="0"/>
              </w:rPr>
              <w:t xml:space="preserve">Consumable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E">
            <w:pPr>
              <w:rPr>
                <w:color w:val="000000"/>
                <w:sz w:val="24"/>
                <w:szCs w:val="24"/>
              </w:rPr>
            </w:pPr>
            <w:r w:rsidDel="00000000" w:rsidR="00000000" w:rsidRPr="00000000">
              <w:rPr>
                <w:color w:val="000000"/>
                <w:sz w:val="24"/>
                <w:szCs w:val="24"/>
                <w:rtl w:val="0"/>
              </w:rPr>
              <w:t xml:space="preserve"> 5,00,000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F">
            <w:pPr>
              <w:rPr>
                <w:color w:val="000000"/>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0">
            <w:pPr>
              <w:rPr>
                <w:color w:val="000000"/>
                <w:sz w:val="24"/>
                <w:szCs w:val="24"/>
              </w:rPr>
            </w:pPr>
            <w:r w:rsidDel="00000000" w:rsidR="00000000" w:rsidRPr="00000000">
              <w:rPr>
                <w:color w:val="000000"/>
                <w:sz w:val="24"/>
                <w:szCs w:val="24"/>
                <w:rtl w:val="0"/>
              </w:rPr>
              <w:t xml:space="preserve"> 5,00,000</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1">
            <w:pPr>
              <w:widowControl w:val="1"/>
              <w:rPr/>
            </w:pPr>
            <w:r w:rsidDel="00000000" w:rsidR="00000000" w:rsidRPr="00000000">
              <w:rPr>
                <w:rtl w:val="0"/>
              </w:rPr>
              <w:t xml:space="preserve">Microarray Slides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2">
            <w:pPr>
              <w:widowControl w:val="1"/>
              <w:rPr/>
            </w:pPr>
            <w:r w:rsidDel="00000000" w:rsidR="00000000" w:rsidRPr="00000000">
              <w:rPr>
                <w:rtl w:val="0"/>
              </w:rPr>
              <w:t xml:space="preserve">20,000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3">
            <w:pPr>
              <w:widowControl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4">
            <w:pPr>
              <w:widowControl w:val="1"/>
              <w:rPr/>
            </w:pPr>
            <w:r w:rsidDel="00000000" w:rsidR="00000000" w:rsidRPr="00000000">
              <w:rPr>
                <w:rtl w:val="0"/>
              </w:rPr>
              <w:t xml:space="preserve">20,000</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5">
            <w:pPr>
              <w:widowControl w:val="1"/>
              <w:rPr/>
            </w:pPr>
            <w:r w:rsidDel="00000000" w:rsidR="00000000" w:rsidRPr="00000000">
              <w:rPr>
                <w:rtl w:val="0"/>
              </w:rPr>
              <w:t xml:space="preserve">Service Charge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6">
            <w:pPr>
              <w:widowControl w:val="1"/>
              <w:rPr/>
            </w:pPr>
            <w:r w:rsidDel="00000000" w:rsidR="00000000" w:rsidRPr="00000000">
              <w:rPr>
                <w:rtl w:val="0"/>
              </w:rPr>
              <w:t xml:space="preserve">20,000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7">
            <w:pPr>
              <w:widowControl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8">
            <w:pPr>
              <w:widowControl w:val="1"/>
              <w:rPr/>
            </w:pPr>
            <w:r w:rsidDel="00000000" w:rsidR="00000000" w:rsidRPr="00000000">
              <w:rPr>
                <w:rtl w:val="0"/>
              </w:rPr>
              <w:t xml:space="preserve">20,000</w:t>
            </w:r>
          </w:p>
        </w:tc>
      </w:tr>
    </w:tbl>
    <w:p w:rsidR="00000000" w:rsidDel="00000000" w:rsidP="00000000" w:rsidRDefault="00000000" w:rsidRPr="00000000" w14:paraId="00000049">
      <w:pPr>
        <w:widowControl w:val="1"/>
        <w:tabs>
          <w:tab w:val="left" w:leader="none" w:pos="540"/>
        </w:tabs>
        <w:spacing w:after="0" w:lineRule="auto"/>
        <w:ind w:right="-20"/>
        <w:rPr>
          <w:b w:val="1"/>
          <w:sz w:val="24"/>
          <w:szCs w:val="24"/>
        </w:rPr>
      </w:pPr>
      <w:r w:rsidDel="00000000" w:rsidR="00000000" w:rsidRPr="00000000">
        <w:rPr>
          <w:rtl w:val="0"/>
        </w:rPr>
      </w:r>
    </w:p>
    <w:p w:rsidR="00000000" w:rsidDel="00000000" w:rsidP="00000000" w:rsidRDefault="00000000" w:rsidRPr="00000000" w14:paraId="0000004A">
      <w:pPr>
        <w:widowControl w:val="1"/>
        <w:numPr>
          <w:ilvl w:val="0"/>
          <w:numId w:val="2"/>
        </w:numPr>
        <w:tabs>
          <w:tab w:val="left" w:leader="none" w:pos="540"/>
        </w:tabs>
        <w:spacing w:after="0" w:lineRule="auto"/>
        <w:ind w:left="0" w:right="-20" w:firstLine="0"/>
        <w:rPr>
          <w:b w:val="1"/>
          <w:color w:val="000000"/>
          <w:sz w:val="24"/>
          <w:szCs w:val="24"/>
        </w:rPr>
      </w:pPr>
      <w:r w:rsidDel="00000000" w:rsidR="00000000" w:rsidRPr="00000000">
        <w:rPr>
          <w:b w:val="1"/>
          <w:color w:val="000000"/>
          <w:sz w:val="24"/>
          <w:szCs w:val="24"/>
          <w:rtl w:val="0"/>
        </w:rPr>
        <w:t xml:space="preserve">BACKGROUND AND RATIONALE:</w:t>
      </w:r>
    </w:p>
    <w:p w:rsidR="00000000" w:rsidDel="00000000" w:rsidP="00000000" w:rsidRDefault="00000000" w:rsidRPr="00000000" w14:paraId="0000004B">
      <w:pPr>
        <w:spacing w:after="0" w:lineRule="auto"/>
        <w:rPr>
          <w:sz w:val="24"/>
          <w:szCs w:val="24"/>
        </w:rPr>
      </w:pPr>
      <w:r w:rsidDel="00000000" w:rsidR="00000000" w:rsidRPr="00000000">
        <w:rPr>
          <w:rtl w:val="0"/>
        </w:rPr>
      </w:r>
    </w:p>
    <w:p w:rsidR="00000000" w:rsidDel="00000000" w:rsidP="00000000" w:rsidRDefault="00000000" w:rsidRPr="00000000" w14:paraId="0000004C">
      <w:pPr>
        <w:pStyle w:val="Heading2"/>
        <w:spacing w:before="0" w:lineRule="auto"/>
        <w:jc w:val="both"/>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2.1.</w:t>
        <w:tab/>
        <w:t xml:space="preserve">Background</w:t>
      </w:r>
    </w:p>
    <w:p w:rsidR="00000000" w:rsidDel="00000000" w:rsidP="00000000" w:rsidRDefault="00000000" w:rsidRPr="00000000" w14:paraId="0000004D">
      <w:pPr>
        <w:widowControl w:val="1"/>
        <w:spacing w:after="0" w:lineRule="auto"/>
        <w:ind w:firstLine="720"/>
        <w:jc w:val="both"/>
        <w:rPr>
          <w:color w:val="000000"/>
          <w:sz w:val="24"/>
          <w:szCs w:val="24"/>
        </w:rPr>
      </w:pPr>
      <w:r w:rsidDel="00000000" w:rsidR="00000000" w:rsidRPr="00000000">
        <w:rPr>
          <w:rtl w:val="0"/>
        </w:rPr>
      </w:r>
    </w:p>
    <w:p w:rsidR="00000000" w:rsidDel="00000000" w:rsidP="00000000" w:rsidRDefault="00000000" w:rsidRPr="00000000" w14:paraId="0000004E">
      <w:pPr>
        <w:spacing w:after="0" w:lineRule="auto"/>
        <w:ind w:firstLine="720"/>
        <w:jc w:val="both"/>
        <w:rPr>
          <w:sz w:val="24"/>
          <w:szCs w:val="24"/>
        </w:rPr>
      </w:pPr>
      <w:r w:rsidDel="00000000" w:rsidR="00000000" w:rsidRPr="00000000">
        <w:rPr>
          <w:sz w:val="24"/>
          <w:szCs w:val="24"/>
          <w:rtl w:val="0"/>
        </w:rPr>
        <w:t xml:space="preserve">Even with the best possible treatment given with curative intent; few of the early-stage patients and significantly higher proportion of the locally advanced patients show poor outcomes. Poor prognosis of cancer also results in long-term economic burden for most of the patient-families and society, as such. Therefore, to provide answers against the non-predictability of the treatment response, study needs to be performed to identify prognostic determinant to take rational decisions. We strongly believe that the discovery of well characterized biomarkers will greatly impact the prediction of prognosis as well as provide better rationale for therapeutic planning. </w:t>
      </w:r>
    </w:p>
    <w:p w:rsidR="00000000" w:rsidDel="00000000" w:rsidP="00000000" w:rsidRDefault="00000000" w:rsidRPr="00000000" w14:paraId="0000004F">
      <w:pPr>
        <w:spacing w:after="0" w:lineRule="auto"/>
        <w:ind w:firstLine="720"/>
        <w:jc w:val="both"/>
        <w:rPr>
          <w:sz w:val="24"/>
          <w:szCs w:val="24"/>
        </w:rPr>
      </w:pPr>
      <w:r w:rsidDel="00000000" w:rsidR="00000000" w:rsidRPr="00000000">
        <w:rPr>
          <w:rtl w:val="0"/>
        </w:rPr>
      </w:r>
    </w:p>
    <w:p w:rsidR="00000000" w:rsidDel="00000000" w:rsidP="00000000" w:rsidRDefault="00000000" w:rsidRPr="00000000" w14:paraId="00000050">
      <w:pPr>
        <w:ind w:firstLine="280"/>
        <w:jc w:val="both"/>
        <w:rPr>
          <w:sz w:val="24"/>
          <w:szCs w:val="24"/>
        </w:rPr>
      </w:pPr>
      <w:r w:rsidDel="00000000" w:rsidR="00000000" w:rsidRPr="00000000">
        <w:rPr>
          <w:sz w:val="24"/>
          <w:szCs w:val="24"/>
          <w:rtl w:val="0"/>
        </w:rPr>
        <w:t xml:space="preserve">Intratumoral heterogeneity (ITH) is emerging as a poor prognostic factor in multiple cancers. This is a result of co-existence of distinct subpopulations with multiple subtypes residing in individual tumors during cancer progression [1][2]. Investigations between a few subpopulations have started to reveal the highly complex and dynamic nature of interactions between these subgroups of malignant and non-malignant cells, where the </w:t>
      </w:r>
      <w:r w:rsidDel="00000000" w:rsidR="00000000" w:rsidRPr="00000000">
        <w:rPr>
          <w:i w:val="1"/>
          <w:sz w:val="24"/>
          <w:szCs w:val="24"/>
          <w:rtl w:val="0"/>
        </w:rPr>
        <w:t xml:space="preserve">collective behaviour of a group of cells determines overall tumor behaviour </w:t>
      </w:r>
      <w:r w:rsidDel="00000000" w:rsidR="00000000" w:rsidRPr="00000000">
        <w:rPr>
          <w:sz w:val="24"/>
          <w:szCs w:val="24"/>
          <w:rtl w:val="0"/>
        </w:rPr>
        <w:t xml:space="preserve">[1][2]. Although the impact of ITH on clinical outcomes is a major focus of cancer research [3][4]; tumor samples are usually employed to estimate the extent of ITH using genomics-based approaches for finding mutation based targeted therapy. However, large scale genomics study has clearly shown that oral cancer is mainly driven by tumor suppressor genes. </w:t>
      </w:r>
      <w:r w:rsidDel="00000000" w:rsidR="00000000" w:rsidRPr="00000000">
        <w:rPr>
          <w:i w:val="1"/>
          <w:sz w:val="24"/>
          <w:szCs w:val="24"/>
          <w:u w:val="single"/>
          <w:rtl w:val="0"/>
        </w:rPr>
        <w:t xml:space="preserve">Given this genomic landscape, developing mutation based targeted therapy is challenging and alternate strategies need to be devised for oral cancer patients</w:t>
      </w:r>
      <w:r w:rsidDel="00000000" w:rsidR="00000000" w:rsidRPr="00000000">
        <w:rPr>
          <w:sz w:val="24"/>
          <w:szCs w:val="24"/>
          <w:rtl w:val="0"/>
        </w:rPr>
        <w:t xml:space="preserve">.</w:t>
      </w:r>
    </w:p>
    <w:p w:rsidR="00000000" w:rsidDel="00000000" w:rsidP="00000000" w:rsidRDefault="00000000" w:rsidRPr="00000000" w14:paraId="00000051">
      <w:pPr>
        <w:ind w:firstLine="280"/>
        <w:jc w:val="both"/>
        <w:rPr>
          <w:sz w:val="24"/>
          <w:szCs w:val="24"/>
        </w:rPr>
      </w:pPr>
      <w:r w:rsidDel="00000000" w:rsidR="00000000" w:rsidRPr="00000000">
        <w:rPr>
          <w:sz w:val="24"/>
          <w:szCs w:val="24"/>
          <w:rtl w:val="0"/>
        </w:rPr>
        <w:t xml:space="preserve">Few studies have demonstrated that the oral cancer patients whose tumors had higher levels of stromal-alpha-smooth muscle actin (aSMA) had significantly shorter disease free and overall survival [5-9]. αSMA is mainly expressed by cancer associated fibroblast (CAFs) upon activation and differentiation into myofibroblasts. We have found that oral myofibroblastic CAFs express higher levels of Tie2 tyrosine kinase [10] and ongoing work has revealed that Tie2-activation is essential for myofibroblastic differentiation of oral-CAFs and maintenance of its activated-state; controlling stem cell-like behaviour in cancer cells through its reciprocal interactions (Preliminary data). </w:t>
      </w:r>
      <w:r w:rsidDel="00000000" w:rsidR="00000000" w:rsidRPr="00000000">
        <w:rPr>
          <w:i w:val="1"/>
          <w:sz w:val="24"/>
          <w:szCs w:val="24"/>
          <w:rtl w:val="0"/>
        </w:rPr>
        <w:t xml:space="preserve">Moreover,</w:t>
      </w:r>
      <w:r w:rsidDel="00000000" w:rsidR="00000000" w:rsidRPr="00000000">
        <w:rPr>
          <w:sz w:val="24"/>
          <w:szCs w:val="24"/>
          <w:rtl w:val="0"/>
        </w:rPr>
        <w:t xml:space="preserve"> </w:t>
      </w:r>
      <w:r w:rsidDel="00000000" w:rsidR="00000000" w:rsidRPr="00000000">
        <w:rPr>
          <w:i w:val="1"/>
          <w:sz w:val="24"/>
          <w:szCs w:val="24"/>
          <w:u w:val="single"/>
          <w:rtl w:val="0"/>
        </w:rPr>
        <w:t xml:space="preserve">patients having higher levels of myofibroblastic-CAFs had poorer prognosis, suggesting important role of Tie2 activation in CAFs</w:t>
      </w:r>
      <w:r w:rsidDel="00000000" w:rsidR="00000000" w:rsidRPr="00000000">
        <w:rPr>
          <w:sz w:val="24"/>
          <w:szCs w:val="24"/>
          <w:u w:val="single"/>
          <w:rtl w:val="0"/>
        </w:rPr>
        <w:t xml:space="preserve"> </w:t>
      </w:r>
      <w:r w:rsidDel="00000000" w:rsidR="00000000" w:rsidRPr="00000000">
        <w:rPr>
          <w:i w:val="1"/>
          <w:sz w:val="24"/>
          <w:szCs w:val="24"/>
          <w:u w:val="single"/>
          <w:rtl w:val="0"/>
        </w:rPr>
        <w:t xml:space="preserve">and oral cancer progression</w:t>
      </w:r>
      <w:r w:rsidDel="00000000" w:rsidR="00000000" w:rsidRPr="00000000">
        <w:rPr>
          <w:sz w:val="24"/>
          <w:szCs w:val="24"/>
          <w:rtl w:val="0"/>
        </w:rPr>
        <w:t xml:space="preserve">. </w:t>
      </w:r>
    </w:p>
    <w:p w:rsidR="00000000" w:rsidDel="00000000" w:rsidP="00000000" w:rsidRDefault="00000000" w:rsidRPr="00000000" w14:paraId="00000052">
      <w:pPr>
        <w:spacing w:after="0" w:lineRule="auto"/>
        <w:ind w:firstLine="720"/>
        <w:jc w:val="both"/>
        <w:rPr>
          <w:sz w:val="24"/>
          <w:szCs w:val="24"/>
        </w:rPr>
      </w:pPr>
      <w:r w:rsidDel="00000000" w:rsidR="00000000" w:rsidRPr="00000000">
        <w:rPr>
          <w:rtl w:val="0"/>
        </w:rPr>
      </w:r>
    </w:p>
    <w:p w:rsidR="00000000" w:rsidDel="00000000" w:rsidP="00000000" w:rsidRDefault="00000000" w:rsidRPr="00000000" w14:paraId="00000053">
      <w:pPr>
        <w:spacing w:after="0" w:lineRule="auto"/>
        <w:ind w:firstLine="720"/>
        <w:jc w:val="both"/>
        <w:rPr>
          <w:sz w:val="24"/>
          <w:szCs w:val="24"/>
        </w:rPr>
      </w:pPr>
      <w:r w:rsidDel="00000000" w:rsidR="00000000" w:rsidRPr="00000000">
        <w:rPr>
          <w:sz w:val="24"/>
          <w:szCs w:val="24"/>
          <w:rtl w:val="0"/>
        </w:rPr>
        <w:t xml:space="preserve">It is well known that heterogeneous populations within solid tumors display ecological behaviour; where certain cell populations with distinct biochemical nature exhibit dynamic molecular interactions to co-exist, cooperate, and co-evolve in tumor microenvironment (TME)</w:t>
      </w:r>
      <w:r w:rsidDel="00000000" w:rsidR="00000000" w:rsidRPr="00000000">
        <w:rPr>
          <w:i w:val="1"/>
          <w:sz w:val="24"/>
          <w:szCs w:val="24"/>
          <w:u w:val="single"/>
          <w:rtl w:val="0"/>
        </w:rPr>
        <w:t xml:space="preserve">. Therefore, it is critical to identify key cell populations, which may be responsible for developing this ecological structure and driving global tumor behaviour. However, the research in this perspective is still in infancy and majorly lacking for most of the solid tumors [11]. </w:t>
      </w:r>
      <w:r w:rsidDel="00000000" w:rsidR="00000000" w:rsidRPr="00000000">
        <w:rPr>
          <w:i w:val="1"/>
          <w:color w:val="131413"/>
          <w:sz w:val="24"/>
          <w:szCs w:val="24"/>
          <w:rtl w:val="0"/>
        </w:rPr>
        <w:t xml:space="preserve">Therefore, here we aimed to explore Tie2-activated CAFs in oral-TME as most critical populations responsible for establishing ecological structure responsible for global tumor behaviour.</w:t>
      </w:r>
      <w:r w:rsidDel="00000000" w:rsidR="00000000" w:rsidRPr="00000000">
        <w:rPr>
          <w:rtl w:val="0"/>
        </w:rPr>
      </w:r>
    </w:p>
    <w:p w:rsidR="00000000" w:rsidDel="00000000" w:rsidP="00000000" w:rsidRDefault="00000000" w:rsidRPr="00000000" w14:paraId="00000054">
      <w:pPr>
        <w:spacing w:after="0" w:lineRule="auto"/>
        <w:ind w:firstLine="720"/>
        <w:jc w:val="both"/>
        <w:rPr>
          <w:sz w:val="24"/>
          <w:szCs w:val="24"/>
        </w:rPr>
      </w:pPr>
      <w:r w:rsidDel="00000000" w:rsidR="00000000" w:rsidRPr="00000000">
        <w:rPr>
          <w:rtl w:val="0"/>
        </w:rPr>
      </w:r>
    </w:p>
    <w:p w:rsidR="00000000" w:rsidDel="00000000" w:rsidP="00000000" w:rsidRDefault="00000000" w:rsidRPr="00000000" w14:paraId="00000055">
      <w:pPr>
        <w:spacing w:after="0" w:lineRule="auto"/>
        <w:jc w:val="both"/>
        <w:rPr>
          <w:sz w:val="24"/>
          <w:szCs w:val="24"/>
        </w:rPr>
      </w:pPr>
      <w:r w:rsidDel="00000000" w:rsidR="00000000" w:rsidRPr="00000000">
        <w:rPr>
          <w:rtl w:val="0"/>
        </w:rPr>
      </w:r>
    </w:p>
    <w:p w:rsidR="00000000" w:rsidDel="00000000" w:rsidP="00000000" w:rsidRDefault="00000000" w:rsidRPr="00000000" w14:paraId="00000056">
      <w:pPr>
        <w:widowControl w:val="1"/>
        <w:spacing w:after="0" w:lineRule="auto"/>
        <w:jc w:val="both"/>
        <w:rPr>
          <w:b w:val="1"/>
          <w:color w:val="000000"/>
          <w:sz w:val="24"/>
          <w:szCs w:val="24"/>
        </w:rPr>
      </w:pPr>
      <w:r w:rsidDel="00000000" w:rsidR="00000000" w:rsidRPr="00000000">
        <w:rPr>
          <w:b w:val="1"/>
          <w:color w:val="000000"/>
          <w:sz w:val="24"/>
          <w:szCs w:val="24"/>
          <w:rtl w:val="0"/>
        </w:rPr>
        <w:t xml:space="preserve">2.2.</w:t>
        <w:tab/>
        <w:t xml:space="preserve">Research Question</w:t>
      </w:r>
    </w:p>
    <w:p w:rsidR="00000000" w:rsidDel="00000000" w:rsidP="00000000" w:rsidRDefault="00000000" w:rsidRPr="00000000" w14:paraId="00000057">
      <w:pPr>
        <w:widowControl w:val="1"/>
        <w:spacing w:after="0" w:lineRule="auto"/>
        <w:ind w:firstLine="284"/>
        <w:jc w:val="both"/>
        <w:rPr>
          <w:sz w:val="24"/>
          <w:szCs w:val="24"/>
        </w:rPr>
      </w:pPr>
      <w:r w:rsidDel="00000000" w:rsidR="00000000" w:rsidRPr="00000000">
        <w:rPr>
          <w:rtl w:val="0"/>
        </w:rPr>
      </w:r>
    </w:p>
    <w:p w:rsidR="00000000" w:rsidDel="00000000" w:rsidP="00000000" w:rsidRDefault="00000000" w:rsidRPr="00000000" w14:paraId="00000058">
      <w:pPr>
        <w:widowControl w:val="1"/>
        <w:spacing w:after="0" w:lineRule="auto"/>
        <w:ind w:firstLine="284"/>
        <w:jc w:val="both"/>
        <w:rPr>
          <w:b w:val="1"/>
          <w:color w:val="000000"/>
          <w:sz w:val="24"/>
          <w:szCs w:val="24"/>
        </w:rPr>
      </w:pPr>
      <w:r w:rsidDel="00000000" w:rsidR="00000000" w:rsidRPr="00000000">
        <w:rPr>
          <w:sz w:val="24"/>
          <w:szCs w:val="24"/>
          <w:rtl w:val="0"/>
        </w:rPr>
        <w:t xml:space="preserve">Complex dynamic interactions between genetically diverse cancer cells and environmental factors, construct ecological niches responsible for maintaining the ecosystem in solid tumor, impacting the aggressive cancer behaviour, drug tolerance and overall poor prognosis. However, </w:t>
      </w:r>
      <w:r w:rsidDel="00000000" w:rsidR="00000000" w:rsidRPr="00000000">
        <w:rPr>
          <w:i w:val="1"/>
          <w:sz w:val="24"/>
          <w:szCs w:val="24"/>
          <w:u w:val="single"/>
          <w:rtl w:val="0"/>
        </w:rPr>
        <w:t xml:space="preserve">currently there is a lack of knowledge about the definition of most critical phenotypes of the group of cells responsible for impacting prognosis. </w:t>
      </w:r>
      <w:r w:rsidDel="00000000" w:rsidR="00000000" w:rsidRPr="00000000">
        <w:rPr>
          <w:sz w:val="24"/>
          <w:szCs w:val="24"/>
          <w:rtl w:val="0"/>
        </w:rPr>
        <w:t xml:space="preserve">To decipher ecological principals under such circumstances, we have proposed here to adapt the concept of ‘space as a surrogate’, as majorly applied in ecology studies [12]. This concept mainly relies on a prior hypothesis and ecological knowledge. With the advancement in the technology, spatial patterns can be generated from thousands or millions of cells from single biopsy or surgically resected tumor samples. </w:t>
      </w:r>
      <w:r w:rsidDel="00000000" w:rsidR="00000000" w:rsidRPr="00000000">
        <w:rPr>
          <w:i w:val="1"/>
          <w:sz w:val="24"/>
          <w:szCs w:val="24"/>
          <w:u w:val="single"/>
          <w:rtl w:val="0"/>
        </w:rPr>
        <w:t xml:space="preserve">Integration of this spatial information with clear hypothesis and precise analysis; we are aiming to construct ecological structure of Tie2-activated CAFs-neighbourhood which may potentially be used as prognostic biomarker associated with aggressive phenotype in oral cancer. </w:t>
      </w:r>
      <w:r w:rsidDel="00000000" w:rsidR="00000000" w:rsidRPr="00000000">
        <w:rPr>
          <w:rtl w:val="0"/>
        </w:rPr>
      </w:r>
    </w:p>
    <w:p w:rsidR="00000000" w:rsidDel="00000000" w:rsidP="00000000" w:rsidRDefault="00000000" w:rsidRPr="00000000" w14:paraId="00000059">
      <w:pPr>
        <w:widowControl w:val="1"/>
        <w:spacing w:after="0" w:lineRule="auto"/>
        <w:jc w:val="both"/>
        <w:rPr>
          <w:color w:val="000000"/>
          <w:sz w:val="24"/>
          <w:szCs w:val="24"/>
        </w:rPr>
      </w:pPr>
      <w:r w:rsidDel="00000000" w:rsidR="00000000" w:rsidRPr="00000000">
        <w:rPr>
          <w:rtl w:val="0"/>
        </w:rPr>
      </w:r>
    </w:p>
    <w:p w:rsidR="00000000" w:rsidDel="00000000" w:rsidP="00000000" w:rsidRDefault="00000000" w:rsidRPr="00000000" w14:paraId="0000005A">
      <w:pPr>
        <w:widowControl w:val="1"/>
        <w:spacing w:after="0" w:lineRule="auto"/>
        <w:jc w:val="both"/>
        <w:rPr>
          <w:color w:val="000000"/>
          <w:sz w:val="24"/>
          <w:szCs w:val="24"/>
        </w:rPr>
      </w:pPr>
      <w:r w:rsidDel="00000000" w:rsidR="00000000" w:rsidRPr="00000000">
        <w:rPr>
          <w:rtl w:val="0"/>
        </w:rPr>
      </w:r>
    </w:p>
    <w:p w:rsidR="00000000" w:rsidDel="00000000" w:rsidP="00000000" w:rsidRDefault="00000000" w:rsidRPr="00000000" w14:paraId="0000005B">
      <w:pPr>
        <w:widowControl w:val="1"/>
        <w:spacing w:after="0" w:lineRule="auto"/>
        <w:jc w:val="both"/>
        <w:rPr>
          <w:b w:val="1"/>
          <w:color w:val="000000"/>
          <w:sz w:val="24"/>
          <w:szCs w:val="24"/>
        </w:rPr>
      </w:pPr>
      <w:r w:rsidDel="00000000" w:rsidR="00000000" w:rsidRPr="00000000">
        <w:rPr>
          <w:b w:val="1"/>
          <w:color w:val="000000"/>
          <w:sz w:val="24"/>
          <w:szCs w:val="24"/>
          <w:rtl w:val="0"/>
        </w:rPr>
        <w:t xml:space="preserve">2.3.</w:t>
        <w:tab/>
        <w:t xml:space="preserve">Rationale</w:t>
      </w:r>
    </w:p>
    <w:p w:rsidR="00000000" w:rsidDel="00000000" w:rsidP="00000000" w:rsidRDefault="00000000" w:rsidRPr="00000000" w14:paraId="0000005C">
      <w:pPr>
        <w:widowControl w:val="1"/>
        <w:spacing w:after="0" w:lineRule="auto"/>
        <w:jc w:val="both"/>
        <w:rPr>
          <w:b w:val="1"/>
          <w:color w:val="000000"/>
          <w:sz w:val="24"/>
          <w:szCs w:val="24"/>
        </w:rPr>
      </w:pPr>
      <w:r w:rsidDel="00000000" w:rsidR="00000000" w:rsidRPr="00000000">
        <w:rPr>
          <w:rtl w:val="0"/>
        </w:rPr>
      </w:r>
    </w:p>
    <w:p w:rsidR="00000000" w:rsidDel="00000000" w:rsidP="00000000" w:rsidRDefault="00000000" w:rsidRPr="00000000" w14:paraId="0000005D">
      <w:pPr>
        <w:widowControl w:val="1"/>
        <w:spacing w:after="0" w:lineRule="auto"/>
        <w:ind w:firstLine="720"/>
        <w:jc w:val="both"/>
        <w:rPr>
          <w:b w:val="1"/>
          <w:color w:val="000000"/>
          <w:sz w:val="24"/>
          <w:szCs w:val="24"/>
        </w:rPr>
      </w:pPr>
      <w:r w:rsidDel="00000000" w:rsidR="00000000" w:rsidRPr="00000000">
        <w:rPr>
          <w:sz w:val="24"/>
          <w:szCs w:val="24"/>
          <w:rtl w:val="0"/>
        </w:rPr>
        <w:t xml:space="preserve">We are attempting to bring advancement in the field by exploring complex ecosystem of oral tumors. We will provide the methodology for visualizing the ecological structures evolves in oral cancer TME which may drive aggressive behaviour. Further, attempt will be made to model the dynamics for individual cellular neighbourhoods and scaling up to predict overall tumour dynamics; so that the technology may get ready for clinical translation impacting oral cancer patients by stratifying them into risk-group. This may allow clinicals to make alternate treatment decisions a priori, for high-risk patients possibly using our novel Tie2-inhibiton strategy.  Moreover, as one of the direct outcomes of the project, we will provide the spatial distribution of immune cells in oral TME. This data may positively impact the immunotherapy design and its possible outcome.  Overall, our study fills a critical gap by introducing cellular neighbourhood analysis in the context of oral cancers, particularly within an Indian patient cohort. The integration of this analysis in calibrating an agent-based computational model is the first, to the best of our knowledge. Thus, the outcomes promise to contribute not only to the scientific understanding of oral cancer but also to the development of personalized therapeutic strategies.</w:t>
      </w:r>
      <w:r w:rsidDel="00000000" w:rsidR="00000000" w:rsidRPr="00000000">
        <w:rPr>
          <w:rtl w:val="0"/>
        </w:rPr>
      </w:r>
    </w:p>
    <w:p w:rsidR="00000000" w:rsidDel="00000000" w:rsidP="00000000" w:rsidRDefault="00000000" w:rsidRPr="00000000" w14:paraId="0000005E">
      <w:pPr>
        <w:rPr>
          <w:b w:val="1"/>
          <w:color w:val="000000"/>
          <w:sz w:val="24"/>
          <w:szCs w:val="24"/>
        </w:rPr>
      </w:pPr>
      <w:r w:rsidDel="00000000" w:rsidR="00000000" w:rsidRPr="00000000">
        <w:rPr>
          <w:rtl w:val="0"/>
        </w:rPr>
      </w:r>
    </w:p>
    <w:p w:rsidR="00000000" w:rsidDel="00000000" w:rsidP="00000000" w:rsidRDefault="00000000" w:rsidRPr="00000000" w14:paraId="0000005F">
      <w:pPr>
        <w:pStyle w:val="Heading1"/>
        <w:numPr>
          <w:ilvl w:val="0"/>
          <w:numId w:val="2"/>
        </w:numPr>
        <w:spacing w:before="0" w:lineRule="auto"/>
        <w:ind w:left="0" w:firstLine="0"/>
        <w:jc w:val="both"/>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AIMS AND OBJECTIVES:</w:t>
      </w:r>
    </w:p>
    <w:p w:rsidR="00000000" w:rsidDel="00000000" w:rsidP="00000000" w:rsidRDefault="00000000" w:rsidRPr="00000000" w14:paraId="00000060">
      <w:pPr>
        <w:pStyle w:val="Heading2"/>
        <w:spacing w:before="0" w:lineRule="auto"/>
        <w:jc w:val="both"/>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3.1. Aim</w:t>
      </w:r>
    </w:p>
    <w:p w:rsidR="00000000" w:rsidDel="00000000" w:rsidP="00000000" w:rsidRDefault="00000000" w:rsidRPr="00000000" w14:paraId="00000061">
      <w:pPr>
        <w:rPr>
          <w:sz w:val="24"/>
          <w:szCs w:val="24"/>
        </w:rPr>
      </w:pPr>
      <w:r w:rsidDel="00000000" w:rsidR="00000000" w:rsidRPr="00000000">
        <w:rPr>
          <w:sz w:val="24"/>
          <w:szCs w:val="24"/>
          <w:rtl w:val="0"/>
        </w:rPr>
        <w:t xml:space="preserve">To explore the cellular neighbourhood associated with Tie-2 activated CAFs in Oral-TME using spatial technology platform</w:t>
      </w:r>
    </w:p>
    <w:p w:rsidR="00000000" w:rsidDel="00000000" w:rsidP="00000000" w:rsidRDefault="00000000" w:rsidRPr="00000000" w14:paraId="00000062">
      <w:pPr>
        <w:pStyle w:val="Heading2"/>
        <w:spacing w:before="0" w:lineRule="auto"/>
        <w:jc w:val="both"/>
        <w:rPr>
          <w:rFonts w:ascii="Calibri" w:cs="Calibri" w:eastAsia="Calibri" w:hAnsi="Calibri"/>
          <w:b w:val="1"/>
          <w:sz w:val="24"/>
          <w:szCs w:val="24"/>
        </w:rPr>
      </w:pPr>
      <w:r w:rsidDel="00000000" w:rsidR="00000000" w:rsidRPr="00000000">
        <w:rPr>
          <w:rFonts w:ascii="Calibri" w:cs="Calibri" w:eastAsia="Calibri" w:hAnsi="Calibri"/>
          <w:b w:val="1"/>
          <w:color w:val="000000"/>
          <w:sz w:val="24"/>
          <w:szCs w:val="24"/>
          <w:rtl w:val="0"/>
        </w:rPr>
        <w:t xml:space="preserve">3.2. Objectives</w:t>
      </w:r>
      <w:r w:rsidDel="00000000" w:rsidR="00000000" w:rsidRPr="00000000">
        <w:rPr>
          <w:rtl w:val="0"/>
        </w:rPr>
      </w:r>
    </w:p>
    <w:p w:rsidR="00000000" w:rsidDel="00000000" w:rsidP="00000000" w:rsidRDefault="00000000" w:rsidRPr="00000000" w14:paraId="00000063">
      <w:pPr>
        <w:widowControl w:val="1"/>
        <w:spacing w:after="0" w:lineRule="auto"/>
        <w:jc w:val="both"/>
        <w:rPr>
          <w:b w:val="1"/>
          <w:color w:val="000000"/>
          <w:sz w:val="24"/>
          <w:szCs w:val="24"/>
        </w:rPr>
      </w:pPr>
      <w:r w:rsidDel="00000000" w:rsidR="00000000" w:rsidRPr="00000000">
        <w:rPr>
          <w:rtl w:val="0"/>
        </w:rPr>
      </w:r>
    </w:p>
    <w:p w:rsidR="00000000" w:rsidDel="00000000" w:rsidP="00000000" w:rsidRDefault="00000000" w:rsidRPr="00000000" w14:paraId="00000064">
      <w:pPr>
        <w:widowControl w:val="1"/>
        <w:spacing w:after="0" w:lineRule="auto"/>
        <w:jc w:val="both"/>
        <w:rPr>
          <w:color w:val="000000"/>
          <w:sz w:val="24"/>
          <w:szCs w:val="24"/>
        </w:rPr>
      </w:pPr>
      <w:r w:rsidDel="00000000" w:rsidR="00000000" w:rsidRPr="00000000">
        <w:rPr>
          <w:b w:val="1"/>
          <w:color w:val="000000"/>
          <w:sz w:val="24"/>
          <w:szCs w:val="24"/>
          <w:rtl w:val="0"/>
        </w:rPr>
        <w:t xml:space="preserve">Primary objective:</w:t>
      </w:r>
      <w:r w:rsidDel="00000000" w:rsidR="00000000" w:rsidRPr="00000000">
        <w:rPr>
          <w:color w:val="000000"/>
          <w:sz w:val="24"/>
          <w:szCs w:val="24"/>
          <w:rtl w:val="0"/>
        </w:rPr>
        <w:t xml:space="preserve"> </w:t>
        <w:tab/>
        <w:tab/>
        <w:tab/>
        <w:tab/>
      </w:r>
    </w:p>
    <w:p w:rsidR="00000000" w:rsidDel="00000000" w:rsidP="00000000" w:rsidRDefault="00000000" w:rsidRPr="00000000" w14:paraId="00000065">
      <w:pPr>
        <w:widowControl w:val="1"/>
        <w:spacing w:after="0" w:lineRule="auto"/>
        <w:jc w:val="both"/>
        <w:rPr>
          <w:color w:val="000000"/>
          <w:sz w:val="24"/>
          <w:szCs w:val="24"/>
        </w:rPr>
      </w:pPr>
      <w:r w:rsidDel="00000000" w:rsidR="00000000" w:rsidRPr="00000000">
        <w:rPr>
          <w:color w:val="000000"/>
          <w:sz w:val="24"/>
          <w:szCs w:val="24"/>
          <w:rtl w:val="0"/>
        </w:rPr>
        <w:t xml:space="preserve">To prepare tissue microarray block of FFPE tissue samples of gingivobuccal oral tumors for investigating the cellular neighbourhood of Tie2-activated CAFs. </w:t>
      </w:r>
    </w:p>
    <w:p w:rsidR="00000000" w:rsidDel="00000000" w:rsidP="00000000" w:rsidRDefault="00000000" w:rsidRPr="00000000" w14:paraId="00000066">
      <w:pPr>
        <w:widowControl w:val="1"/>
        <w:spacing w:after="0" w:lineRule="auto"/>
        <w:jc w:val="both"/>
        <w:rPr>
          <w:b w:val="1"/>
          <w:color w:val="000000"/>
          <w:sz w:val="24"/>
          <w:szCs w:val="24"/>
        </w:rPr>
      </w:pPr>
      <w:r w:rsidDel="00000000" w:rsidR="00000000" w:rsidRPr="00000000">
        <w:rPr>
          <w:rtl w:val="0"/>
        </w:rPr>
      </w:r>
    </w:p>
    <w:p w:rsidR="00000000" w:rsidDel="00000000" w:rsidP="00000000" w:rsidRDefault="00000000" w:rsidRPr="00000000" w14:paraId="00000067">
      <w:pPr>
        <w:widowControl w:val="1"/>
        <w:spacing w:after="0" w:lineRule="auto"/>
        <w:jc w:val="both"/>
        <w:rPr>
          <w:b w:val="1"/>
          <w:color w:val="000000"/>
          <w:sz w:val="24"/>
          <w:szCs w:val="24"/>
        </w:rPr>
      </w:pPr>
      <w:r w:rsidDel="00000000" w:rsidR="00000000" w:rsidRPr="00000000">
        <w:rPr>
          <w:b w:val="1"/>
          <w:color w:val="000000"/>
          <w:sz w:val="24"/>
          <w:szCs w:val="24"/>
          <w:rtl w:val="0"/>
        </w:rPr>
        <w:t xml:space="preserve">Secondary objectives:</w:t>
      </w:r>
    </w:p>
    <w:p w:rsidR="00000000" w:rsidDel="00000000" w:rsidP="00000000" w:rsidRDefault="00000000" w:rsidRPr="00000000" w14:paraId="0000006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Preparation of Tissue microarray using FFPE samples from stage T1/T2 patient with early recurrence, T3/T4 patients with good prognosis and T3/T4 patients with early recurrence.</w:t>
      </w:r>
    </w:p>
    <w:p w:rsidR="00000000" w:rsidDel="00000000" w:rsidP="00000000" w:rsidRDefault="00000000" w:rsidRPr="00000000" w14:paraId="0000006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libri" w:cs="Calibri" w:eastAsia="Calibri" w:hAnsi="Calibri"/>
          <w:b w:val="0"/>
          <w:i w:val="0"/>
          <w:smallCaps w:val="0"/>
          <w:strike w:val="0"/>
          <w:color w:val="000000"/>
          <w:sz w:val="24"/>
          <w:szCs w:val="24"/>
          <w:vertAlign w:val="baseline"/>
        </w:rPr>
      </w:pPr>
      <w:r w:rsidDel="00000000" w:rsidR="00000000" w:rsidRPr="00000000">
        <w:rPr>
          <w:rFonts w:ascii="Calibri" w:cs="Calibri" w:eastAsia="Calibri" w:hAnsi="Calibri"/>
          <w:b w:val="0"/>
          <w:i w:val="0"/>
          <w:smallCaps w:val="0"/>
          <w:strike w:val="0"/>
          <w:color w:val="000000"/>
          <w:sz w:val="24"/>
          <w:szCs w:val="24"/>
          <w:u w:val="none"/>
          <w:vertAlign w:val="baseline"/>
          <w:rtl w:val="0"/>
        </w:rPr>
        <w:t xml:space="preserve">Preparation of Tissue microarray using FFPE samples for those patients for whom a small piece was collected by Dr. Sandeep Singh during surgical resection for the earlier collaborative study.</w:t>
      </w:r>
    </w:p>
    <w:p w:rsidR="00000000" w:rsidDel="00000000" w:rsidP="00000000" w:rsidRDefault="00000000" w:rsidRPr="00000000" w14:paraId="0000006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Assessment and quantification of tumor stromal-markers such as BMP4, alpha-SMA, SERPINE1, FAP and Tie2 and its effect on prognosis. </w:t>
      </w:r>
    </w:p>
    <w:p w:rsidR="00000000" w:rsidDel="00000000" w:rsidP="00000000" w:rsidRDefault="00000000" w:rsidRPr="00000000" w14:paraId="0000006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Assessment and quantification of tumor stemness markers OCT4, SOX2, SOX9, NANOG, cMYC and KLF4, KRT1/10, KRT5/14, CD24, CD44, ALDH1A1. </w:t>
      </w:r>
    </w:p>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Assessment and quantification of angiogenesis (CD31), immune markers (CD4, CD8, Foxp3, CD20, CD68) and secretory factors (BMP4, TGFB1, PDL1).</w:t>
      </w:r>
    </w:p>
    <w:p w:rsidR="00000000" w:rsidDel="00000000" w:rsidP="00000000" w:rsidRDefault="00000000" w:rsidRPr="00000000" w14:paraId="0000006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determine the sensitivity, specificity, positive and negative predictive value of clinico-pathological features and prognosis with molecular markers.</w:t>
      </w:r>
    </w:p>
    <w:p w:rsidR="00000000" w:rsidDel="00000000" w:rsidP="00000000" w:rsidRDefault="00000000" w:rsidRPr="00000000" w14:paraId="0000006E">
      <w:pPr>
        <w:widowControl w:val="1"/>
        <w:spacing w:after="0" w:lineRule="auto"/>
        <w:jc w:val="both"/>
        <w:rPr>
          <w:color w:val="000000"/>
          <w:sz w:val="24"/>
          <w:szCs w:val="24"/>
        </w:rPr>
      </w:pPr>
      <w:r w:rsidDel="00000000" w:rsidR="00000000" w:rsidRPr="00000000">
        <w:rPr>
          <w:rtl w:val="0"/>
        </w:rPr>
      </w:r>
    </w:p>
    <w:p w:rsidR="00000000" w:rsidDel="00000000" w:rsidP="00000000" w:rsidRDefault="00000000" w:rsidRPr="00000000" w14:paraId="0000006F">
      <w:pPr>
        <w:widowControl w:val="1"/>
        <w:spacing w:after="0" w:lineRule="auto"/>
        <w:jc w:val="both"/>
        <w:rPr>
          <w:color w:val="000000"/>
          <w:sz w:val="24"/>
          <w:szCs w:val="24"/>
        </w:rPr>
      </w:pPr>
      <w:r w:rsidDel="00000000" w:rsidR="00000000" w:rsidRPr="00000000">
        <w:rPr>
          <w:rtl w:val="0"/>
        </w:rPr>
      </w:r>
    </w:p>
    <w:p w:rsidR="00000000" w:rsidDel="00000000" w:rsidP="00000000" w:rsidRDefault="00000000" w:rsidRPr="00000000" w14:paraId="00000070">
      <w:pPr>
        <w:rPr>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1">
      <w:pPr>
        <w:pStyle w:val="Heading1"/>
        <w:numPr>
          <w:ilvl w:val="0"/>
          <w:numId w:val="2"/>
        </w:numPr>
        <w:spacing w:before="0" w:lineRule="auto"/>
        <w:ind w:left="0" w:firstLine="0"/>
        <w:jc w:val="both"/>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 STUDY DESIGN: </w:t>
      </w:r>
      <w:r w:rsidDel="00000000" w:rsidR="00000000" w:rsidRPr="00000000">
        <w:rPr>
          <w:rFonts w:ascii="Calibri" w:cs="Calibri" w:eastAsia="Calibri" w:hAnsi="Calibri"/>
          <w:color w:val="000000"/>
          <w:sz w:val="24"/>
          <w:szCs w:val="24"/>
          <w:rtl w:val="0"/>
        </w:rPr>
        <w:t xml:space="preserve"> </w:t>
      </w:r>
    </w:p>
    <w:p w:rsidR="00000000" w:rsidDel="00000000" w:rsidP="00000000" w:rsidRDefault="00000000" w:rsidRPr="00000000" w14:paraId="00000072">
      <w:pPr>
        <w:spacing w:after="0" w:lineRule="auto"/>
        <w:jc w:val="both"/>
        <w:rPr>
          <w:sz w:val="24"/>
          <w:szCs w:val="24"/>
        </w:rPr>
      </w:pPr>
      <w:r w:rsidDel="00000000" w:rsidR="00000000" w:rsidRPr="00000000">
        <w:rPr>
          <w:sz w:val="24"/>
          <w:szCs w:val="24"/>
          <w:rtl w:val="0"/>
        </w:rPr>
        <w:t xml:space="preserve">This is an exploratory biomarker study on archived biosamples.</w:t>
      </w:r>
    </w:p>
    <w:p w:rsidR="00000000" w:rsidDel="00000000" w:rsidP="00000000" w:rsidRDefault="00000000" w:rsidRPr="00000000" w14:paraId="00000073">
      <w:pPr>
        <w:spacing w:after="0" w:lineRule="auto"/>
        <w:jc w:val="both"/>
        <w:rPr>
          <w:sz w:val="24"/>
          <w:szCs w:val="24"/>
        </w:rPr>
      </w:pPr>
      <w:r w:rsidDel="00000000" w:rsidR="00000000" w:rsidRPr="00000000">
        <w:rPr>
          <w:rtl w:val="0"/>
        </w:rPr>
      </w:r>
    </w:p>
    <w:p w:rsidR="00000000" w:rsidDel="00000000" w:rsidP="00000000" w:rsidRDefault="00000000" w:rsidRPr="00000000" w14:paraId="00000074">
      <w:pPr>
        <w:widowControl w:val="1"/>
        <w:numPr>
          <w:ilvl w:val="1"/>
          <w:numId w:val="2"/>
        </w:numPr>
        <w:spacing w:after="0" w:lineRule="auto"/>
        <w:ind w:left="0" w:firstLine="0"/>
        <w:rPr>
          <w:b w:val="1"/>
          <w:color w:val="000000"/>
          <w:sz w:val="24"/>
          <w:szCs w:val="24"/>
        </w:rPr>
      </w:pPr>
      <w:r w:rsidDel="00000000" w:rsidR="00000000" w:rsidRPr="00000000">
        <w:rPr>
          <w:b w:val="1"/>
          <w:color w:val="000000"/>
          <w:sz w:val="24"/>
          <w:szCs w:val="24"/>
          <w:rtl w:val="0"/>
        </w:rPr>
        <w:t xml:space="preserve">Methods</w:t>
      </w:r>
    </w:p>
    <w:p w:rsidR="00000000" w:rsidDel="00000000" w:rsidP="00000000" w:rsidRDefault="00000000" w:rsidRPr="00000000" w14:paraId="00000075">
      <w:pPr>
        <w:widowControl w:val="1"/>
        <w:spacing w:after="0" w:lineRule="auto"/>
        <w:ind w:firstLine="720"/>
        <w:jc w:val="both"/>
        <w:rPr>
          <w:color w:val="000000"/>
          <w:sz w:val="24"/>
          <w:szCs w:val="24"/>
        </w:rPr>
      </w:pPr>
      <w:r w:rsidDel="00000000" w:rsidR="00000000" w:rsidRPr="00000000">
        <w:rPr>
          <w:rtl w:val="0"/>
        </w:rPr>
      </w:r>
    </w:p>
    <w:p w:rsidR="00000000" w:rsidDel="00000000" w:rsidP="00000000" w:rsidRDefault="00000000" w:rsidRPr="00000000" w14:paraId="00000076">
      <w:pPr>
        <w:jc w:val="both"/>
        <w:rPr>
          <w:sz w:val="24"/>
          <w:szCs w:val="24"/>
        </w:rPr>
      </w:pPr>
      <w:r w:rsidDel="00000000" w:rsidR="00000000" w:rsidRPr="00000000">
        <w:rPr>
          <w:sz w:val="24"/>
          <w:szCs w:val="24"/>
          <w:rtl w:val="0"/>
        </w:rPr>
        <w:t xml:space="preserve">We will define the group of cells to draw cellular and molecular diversity of the neighbourhood of Tie2-activated myofibroblastic-CAFs and estimate its correlation with clinical behaviour.</w:t>
      </w:r>
    </w:p>
    <w:p w:rsidR="00000000" w:rsidDel="00000000" w:rsidP="00000000" w:rsidRDefault="00000000" w:rsidRPr="00000000" w14:paraId="00000077">
      <w:pPr>
        <w:numPr>
          <w:ilvl w:val="0"/>
          <w:numId w:val="4"/>
        </w:numPr>
        <w:spacing w:after="120" w:before="120" w:lineRule="auto"/>
        <w:ind w:left="0" w:firstLine="0"/>
        <w:jc w:val="both"/>
        <w:rPr>
          <w:b w:val="1"/>
          <w:i w:val="1"/>
          <w:color w:val="000000"/>
          <w:sz w:val="24"/>
          <w:szCs w:val="24"/>
        </w:rPr>
      </w:pPr>
      <w:r w:rsidDel="00000000" w:rsidR="00000000" w:rsidRPr="00000000">
        <w:rPr>
          <w:b w:val="1"/>
          <w:i w:val="1"/>
          <w:color w:val="000000"/>
          <w:sz w:val="24"/>
          <w:szCs w:val="24"/>
          <w:rtl w:val="0"/>
        </w:rPr>
        <w:t xml:space="preserve">Construction of Tissue Microarray: </w:t>
      </w:r>
    </w:p>
    <w:p w:rsidR="00000000" w:rsidDel="00000000" w:rsidP="00000000" w:rsidRDefault="00000000" w:rsidRPr="00000000" w14:paraId="00000078">
      <w:pPr>
        <w:spacing w:after="120" w:before="120" w:lineRule="auto"/>
        <w:jc w:val="both"/>
        <w:rPr>
          <w:sz w:val="24"/>
          <w:szCs w:val="24"/>
        </w:rPr>
      </w:pPr>
      <w:r w:rsidDel="00000000" w:rsidR="00000000" w:rsidRPr="00000000">
        <w:rPr>
          <w:color w:val="000000"/>
          <w:sz w:val="24"/>
          <w:szCs w:val="24"/>
          <w:rtl w:val="0"/>
        </w:rPr>
        <w:t xml:space="preserve">We will use anonymized retrospectively collected formalin fixed paraffin embedded (FFPE) tissue blocks of surgically resected oral tumors, as mentioned in inclusion criteria. Tissue microarray (TMA) will be manually constructed by taking two different regions per sample (on two different blocks) for 21 different tumors with 3 mm core size, , or as per the suitability on each block. These regions will be decided by the pathologist based on the H&amp;E review and in consultation with other investigators. These prepared TMA will be used </w:t>
      </w:r>
      <w:r w:rsidDel="00000000" w:rsidR="00000000" w:rsidRPr="00000000">
        <w:rPr>
          <w:sz w:val="24"/>
          <w:szCs w:val="24"/>
          <w:rtl w:val="0"/>
        </w:rPr>
        <w:t xml:space="preserve">for the specific purpose of this study. </w:t>
      </w:r>
    </w:p>
    <w:p w:rsidR="00000000" w:rsidDel="00000000" w:rsidP="00000000" w:rsidRDefault="00000000" w:rsidRPr="00000000" w14:paraId="00000079">
      <w:pPr>
        <w:numPr>
          <w:ilvl w:val="0"/>
          <w:numId w:val="4"/>
        </w:numPr>
        <w:spacing w:after="120" w:before="120" w:lineRule="auto"/>
        <w:ind w:left="0" w:firstLine="0"/>
        <w:jc w:val="both"/>
        <w:rPr>
          <w:b w:val="1"/>
          <w:i w:val="1"/>
          <w:color w:val="000000"/>
          <w:sz w:val="24"/>
          <w:szCs w:val="24"/>
        </w:rPr>
      </w:pPr>
      <w:r w:rsidDel="00000000" w:rsidR="00000000" w:rsidRPr="00000000">
        <w:rPr>
          <w:b w:val="1"/>
          <w:i w:val="1"/>
          <w:color w:val="000000"/>
          <w:sz w:val="24"/>
          <w:szCs w:val="24"/>
          <w:rtl w:val="0"/>
        </w:rPr>
        <w:t xml:space="preserve">Multiplex-detection of markers of neoplastic, stromal CAFs, Angiogenesis and immune markers:  </w:t>
      </w:r>
    </w:p>
    <w:p w:rsidR="00000000" w:rsidDel="00000000" w:rsidP="00000000" w:rsidRDefault="00000000" w:rsidRPr="00000000" w14:paraId="0000007A">
      <w:pPr>
        <w:spacing w:after="120" w:before="120" w:lineRule="auto"/>
        <w:jc w:val="both"/>
        <w:rPr>
          <w:color w:val="000000"/>
          <w:sz w:val="24"/>
          <w:szCs w:val="24"/>
        </w:rPr>
      </w:pPr>
      <w:r w:rsidDel="00000000" w:rsidR="00000000" w:rsidRPr="00000000">
        <w:rPr>
          <w:color w:val="000000"/>
          <w:sz w:val="24"/>
          <w:szCs w:val="24"/>
          <w:rtl w:val="0"/>
        </w:rPr>
        <w:t xml:space="preserve">Multiplexed detection of molecular markers will be performed using platform specific kits (Nanostring/Akoya/10xGenomics or similar) as per the manufacturer’s instructions. The automated quantitative scores for each marker will be given by keeping both cellularity and intensity of expression into consideration by the inbuilt analysis software. Images will be taken for the positively stained areas of tumor lobes at 200x magnification. Samples will be distributed for low and high-types based on median Score of Tie2 expression. Slides will be assessed by two different pathologist who will be kept blinded about the sample-types. Slides will be processed for neoplastic (pan cytokeratin, CK5/14, CK1/10), tumor stemness markers OCT4, SOX2, SOX9, NANOG, cMYC and KLF4, CD24, CD44, ALDH1A1stromal CAFs (Tie2, aSMA, FAP), angiogenesis (CD31), immune markers (CD4, CD8, Foxp3, CD20, CD68) and secretory factors (BMP4, TGFB1, PDL1) by multiplexed detection. This assay will facilitate us in characterizing the compartments of tumor and stroma at single cell resolution.  </w:t>
      </w:r>
    </w:p>
    <w:p w:rsidR="00000000" w:rsidDel="00000000" w:rsidP="00000000" w:rsidRDefault="00000000" w:rsidRPr="00000000" w14:paraId="0000007B">
      <w:pPr>
        <w:spacing w:after="120" w:before="120" w:lineRule="auto"/>
        <w:jc w:val="both"/>
        <w:rPr>
          <w:b w:val="1"/>
          <w:i w:val="1"/>
          <w:color w:val="000000"/>
          <w:sz w:val="24"/>
          <w:szCs w:val="24"/>
        </w:rPr>
      </w:pPr>
      <w:r w:rsidDel="00000000" w:rsidR="00000000" w:rsidRPr="00000000">
        <w:rPr>
          <w:b w:val="1"/>
          <w:i w:val="1"/>
          <w:color w:val="000000"/>
          <w:sz w:val="24"/>
          <w:szCs w:val="24"/>
          <w:rtl w:val="0"/>
        </w:rPr>
        <w:t xml:space="preserve">c) Characterization of cell-type distribution and cellular neighbourhood:</w:t>
      </w:r>
    </w:p>
    <w:p w:rsidR="00000000" w:rsidDel="00000000" w:rsidP="00000000" w:rsidRDefault="00000000" w:rsidRPr="00000000" w14:paraId="0000007C">
      <w:pPr>
        <w:spacing w:after="120" w:before="120" w:lineRule="auto"/>
        <w:jc w:val="both"/>
        <w:rPr>
          <w:color w:val="000000"/>
          <w:sz w:val="24"/>
          <w:szCs w:val="24"/>
        </w:rPr>
      </w:pPr>
      <w:r w:rsidDel="00000000" w:rsidR="00000000" w:rsidRPr="00000000">
        <w:rPr>
          <w:color w:val="000000"/>
          <w:sz w:val="24"/>
          <w:szCs w:val="24"/>
          <w:rtl w:val="0"/>
        </w:rPr>
        <w:t xml:space="preserve">The quality control procedures to remove any intensity dropouts shall help eliminate any non-biological background, and enable image analysis with high accuracy and reliability to ensure a cleaner signal. Intensity normalization will be performed to standardize brightness levels across the diverse channels. To gain insights into the cellular composition and organization, a moving window approach will be used to calculate the frequency of adjacent cell types for each cell. This can then lead to cluster the windows into regions corresponding to distinct cellular neighbourhoods [13]. These cellular neighbourhoods would capture the spatial relationships between different cell types within the tissue.  Voronoi visualization technique will be used to represent the boundaries of cellular neighbourhoods. </w:t>
      </w:r>
    </w:p>
    <w:p w:rsidR="00000000" w:rsidDel="00000000" w:rsidP="00000000" w:rsidRDefault="00000000" w:rsidRPr="00000000" w14:paraId="0000007D">
      <w:pPr>
        <w:spacing w:after="120" w:before="120" w:lineRule="auto"/>
        <w:jc w:val="both"/>
        <w:rPr>
          <w:b w:val="1"/>
          <w:i w:val="1"/>
          <w:color w:val="000000"/>
          <w:sz w:val="24"/>
          <w:szCs w:val="24"/>
        </w:rPr>
      </w:pPr>
      <w:r w:rsidDel="00000000" w:rsidR="00000000" w:rsidRPr="00000000">
        <w:rPr>
          <w:b w:val="1"/>
          <w:i w:val="1"/>
          <w:color w:val="000000"/>
          <w:sz w:val="24"/>
          <w:szCs w:val="24"/>
          <w:rtl w:val="0"/>
        </w:rPr>
        <w:t xml:space="preserve">d) Modelling the ecological structure:</w:t>
      </w:r>
    </w:p>
    <w:p w:rsidR="00000000" w:rsidDel="00000000" w:rsidP="00000000" w:rsidRDefault="00000000" w:rsidRPr="00000000" w14:paraId="0000007E">
      <w:pPr>
        <w:spacing w:after="120" w:before="120" w:lineRule="auto"/>
        <w:jc w:val="both"/>
        <w:rPr>
          <w:color w:val="000000"/>
          <w:sz w:val="24"/>
          <w:szCs w:val="24"/>
        </w:rPr>
      </w:pPr>
      <w:r w:rsidDel="00000000" w:rsidR="00000000" w:rsidRPr="00000000">
        <w:rPr>
          <w:color w:val="000000"/>
          <w:sz w:val="24"/>
          <w:szCs w:val="24"/>
          <w:rtl w:val="0"/>
        </w:rPr>
        <w:t xml:space="preserve">We shall computationally model the ecological interactions through the use of a Cellular modelling framework provided by manufacturer or open source tool like CompuCell3D [14]. It will allow us to encode the nature of interactions between different cell types, leveraging existing knowledge from the literature. Initially, we will focus on modelling individual cellular neighbourhoods separately, based on randomly initializing an ensemble of cell types based on the relative frequencies obtained from analysis. Subsequently, a coarse-grained model will be developed, representing each cellular neighbourhood as an agent. Parameters derived from individual neighbourhood simulations will inform neighbourhood transitions and invasion dynamics. This approach will allow us to map out the entire tumour, incorporating patient-specific distributions and synthetic distributions to evaluate the generalizability of our models. Finally, we will cluster these simulations based on the final distribution of cellular neighbourhoods and overall tumour size for further analysis relating back to clinical significance. </w:t>
      </w:r>
    </w:p>
    <w:p w:rsidR="00000000" w:rsidDel="00000000" w:rsidP="00000000" w:rsidRDefault="00000000" w:rsidRPr="00000000" w14:paraId="0000007F">
      <w:pPr>
        <w:spacing w:after="120" w:before="120" w:lineRule="auto"/>
        <w:jc w:val="both"/>
        <w:rPr>
          <w:b w:val="1"/>
          <w:i w:val="1"/>
          <w:color w:val="000000"/>
          <w:sz w:val="24"/>
          <w:szCs w:val="24"/>
        </w:rPr>
      </w:pPr>
      <w:r w:rsidDel="00000000" w:rsidR="00000000" w:rsidRPr="00000000">
        <w:rPr>
          <w:b w:val="1"/>
          <w:i w:val="1"/>
          <w:color w:val="000000"/>
          <w:sz w:val="24"/>
          <w:szCs w:val="24"/>
          <w:rtl w:val="0"/>
        </w:rPr>
        <w:t xml:space="preserve">e) Correlation with clinical characteristics:</w:t>
      </w:r>
    </w:p>
    <w:p w:rsidR="00000000" w:rsidDel="00000000" w:rsidP="00000000" w:rsidRDefault="00000000" w:rsidRPr="00000000" w14:paraId="00000080">
      <w:pPr>
        <w:spacing w:after="120" w:before="120" w:lineRule="auto"/>
        <w:jc w:val="both"/>
        <w:rPr>
          <w:b w:val="1"/>
          <w:color w:val="000000"/>
          <w:sz w:val="24"/>
          <w:szCs w:val="24"/>
        </w:rPr>
      </w:pPr>
      <w:r w:rsidDel="00000000" w:rsidR="00000000" w:rsidRPr="00000000">
        <w:rPr>
          <w:color w:val="000000"/>
          <w:sz w:val="24"/>
          <w:szCs w:val="24"/>
          <w:rtl w:val="0"/>
        </w:rPr>
        <w:t xml:space="preserve">We will gather comprehensive clinical data including essential parameters such as tumour grade, and disease progression for each patient in our cohort. Next, we will examine the spatial distributions of cell types and neighbourhood analysis based on these clinical classifications. We shall employ Tucker decomposition [13] to extract modules representing distinct patterns in both cell types and cellular neighbourhoods across the various classifications.</w:t>
      </w:r>
      <w:r w:rsidDel="00000000" w:rsidR="00000000" w:rsidRPr="00000000">
        <w:br w:type="page"/>
      </w:r>
      <w:r w:rsidDel="00000000" w:rsidR="00000000" w:rsidRPr="00000000">
        <w:rPr>
          <w:rtl w:val="0"/>
        </w:rPr>
      </w:r>
    </w:p>
    <w:p w:rsidR="00000000" w:rsidDel="00000000" w:rsidP="00000000" w:rsidRDefault="00000000" w:rsidRPr="00000000" w14:paraId="00000081">
      <w:pPr>
        <w:pStyle w:val="Heading1"/>
        <w:numPr>
          <w:ilvl w:val="0"/>
          <w:numId w:val="2"/>
        </w:numPr>
        <w:spacing w:before="0" w:lineRule="auto"/>
        <w:ind w:left="0" w:firstLine="0"/>
        <w:jc w:val="both"/>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INCLUSION/EXCLUSION CRITERIA OF FFPE TUMOR BLOCKS :</w:t>
      </w:r>
    </w:p>
    <w:p w:rsidR="00000000" w:rsidDel="00000000" w:rsidP="00000000" w:rsidRDefault="00000000" w:rsidRPr="00000000" w14:paraId="00000082">
      <w:pPr>
        <w:rPr>
          <w:sz w:val="24"/>
          <w:szCs w:val="24"/>
        </w:rPr>
      </w:pPr>
      <w:r w:rsidDel="00000000" w:rsidR="00000000" w:rsidRPr="00000000">
        <w:rPr>
          <w:rtl w:val="0"/>
        </w:rPr>
      </w:r>
    </w:p>
    <w:p w:rsidR="00000000" w:rsidDel="00000000" w:rsidP="00000000" w:rsidRDefault="00000000" w:rsidRPr="00000000" w14:paraId="00000083">
      <w:pPr>
        <w:pStyle w:val="Heading2"/>
        <w:spacing w:before="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5.1 Inclusion Criteria:</w:t>
      </w:r>
    </w:p>
    <w:p w:rsidR="00000000" w:rsidDel="00000000" w:rsidP="00000000" w:rsidRDefault="00000000" w:rsidRPr="00000000" w14:paraId="00000084">
      <w:pPr>
        <w:widowControl w:val="1"/>
        <w:spacing w:after="0" w:lineRule="auto"/>
        <w:jc w:val="both"/>
        <w:rPr>
          <w:color w:val="000000"/>
          <w:sz w:val="24"/>
          <w:szCs w:val="24"/>
        </w:rPr>
      </w:pPr>
      <w:r w:rsidDel="00000000" w:rsidR="00000000" w:rsidRPr="00000000">
        <w:rPr>
          <w:color w:val="000000"/>
          <w:sz w:val="24"/>
          <w:szCs w:val="24"/>
          <w:rtl w:val="0"/>
        </w:rPr>
        <w:t xml:space="preserve">Following tumor types </w:t>
      </w:r>
      <w:r w:rsidDel="00000000" w:rsidR="00000000" w:rsidRPr="00000000">
        <w:rPr>
          <w:sz w:val="24"/>
          <w:szCs w:val="24"/>
          <w:rtl w:val="0"/>
        </w:rPr>
        <w:t xml:space="preserve">with specific prognostic sub-type classification </w:t>
      </w:r>
      <w:r w:rsidDel="00000000" w:rsidR="00000000" w:rsidRPr="00000000">
        <w:rPr>
          <w:color w:val="000000"/>
          <w:sz w:val="24"/>
          <w:szCs w:val="24"/>
          <w:rtl w:val="0"/>
        </w:rPr>
        <w:t xml:space="preserve">will be included from patient of age between 18 years – 70 years.</w:t>
      </w:r>
    </w:p>
    <w:p w:rsidR="00000000" w:rsidDel="00000000" w:rsidP="00000000" w:rsidRDefault="00000000" w:rsidRPr="00000000" w14:paraId="00000085">
      <w:pPr>
        <w:widowControl w:val="1"/>
        <w:numPr>
          <w:ilvl w:val="0"/>
          <w:numId w:val="6"/>
        </w:numPr>
        <w:spacing w:after="0" w:lineRule="auto"/>
        <w:ind w:left="0" w:firstLine="0"/>
        <w:jc w:val="both"/>
        <w:rPr>
          <w:color w:val="000000"/>
          <w:sz w:val="24"/>
          <w:szCs w:val="24"/>
        </w:rPr>
      </w:pPr>
      <w:r w:rsidDel="00000000" w:rsidR="00000000" w:rsidRPr="00000000">
        <w:rPr>
          <w:sz w:val="24"/>
          <w:szCs w:val="24"/>
          <w:rtl w:val="0"/>
        </w:rPr>
        <w:t xml:space="preserve">T1/T2 tumor with recurrence</w:t>
      </w:r>
      <w:r w:rsidDel="00000000" w:rsidR="00000000" w:rsidRPr="00000000">
        <w:rPr>
          <w:color w:val="000000"/>
          <w:sz w:val="24"/>
          <w:szCs w:val="24"/>
          <w:rtl w:val="0"/>
        </w:rPr>
        <w:t xml:space="preserve">. </w:t>
      </w:r>
    </w:p>
    <w:p w:rsidR="00000000" w:rsidDel="00000000" w:rsidP="00000000" w:rsidRDefault="00000000" w:rsidRPr="00000000" w14:paraId="00000086">
      <w:pPr>
        <w:widowControl w:val="1"/>
        <w:numPr>
          <w:ilvl w:val="0"/>
          <w:numId w:val="6"/>
        </w:numPr>
        <w:spacing w:after="0" w:lineRule="auto"/>
        <w:ind w:left="0" w:firstLine="0"/>
        <w:jc w:val="both"/>
        <w:rPr>
          <w:color w:val="000000"/>
          <w:sz w:val="24"/>
          <w:szCs w:val="24"/>
        </w:rPr>
      </w:pPr>
      <w:r w:rsidDel="00000000" w:rsidR="00000000" w:rsidRPr="00000000">
        <w:rPr>
          <w:color w:val="000000"/>
          <w:sz w:val="24"/>
          <w:szCs w:val="24"/>
          <w:rtl w:val="0"/>
        </w:rPr>
        <w:t xml:space="preserve">T3/T4 tumor from patients who showed disease free survival for more than 2 years. </w:t>
      </w:r>
    </w:p>
    <w:p w:rsidR="00000000" w:rsidDel="00000000" w:rsidP="00000000" w:rsidRDefault="00000000" w:rsidRPr="00000000" w14:paraId="00000087">
      <w:pPr>
        <w:widowControl w:val="1"/>
        <w:numPr>
          <w:ilvl w:val="0"/>
          <w:numId w:val="6"/>
        </w:numPr>
        <w:spacing w:after="0" w:lineRule="auto"/>
        <w:ind w:left="0" w:firstLine="0"/>
        <w:jc w:val="both"/>
        <w:rPr>
          <w:color w:val="000000"/>
          <w:sz w:val="24"/>
          <w:szCs w:val="24"/>
        </w:rPr>
      </w:pPr>
      <w:r w:rsidDel="00000000" w:rsidR="00000000" w:rsidRPr="00000000">
        <w:rPr>
          <w:color w:val="000000"/>
          <w:sz w:val="24"/>
          <w:szCs w:val="24"/>
          <w:rtl w:val="0"/>
        </w:rPr>
        <w:t xml:space="preserve">patients who showed early recurrence (within 6 months of surgery).</w:t>
      </w:r>
    </w:p>
    <w:p w:rsidR="00000000" w:rsidDel="00000000" w:rsidP="00000000" w:rsidRDefault="00000000" w:rsidRPr="00000000" w14:paraId="00000088">
      <w:pPr>
        <w:pStyle w:val="Heading2"/>
        <w:spacing w:before="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5.2 Exclusion criteria:</w:t>
      </w:r>
    </w:p>
    <w:p w:rsidR="00000000" w:rsidDel="00000000" w:rsidP="00000000" w:rsidRDefault="00000000" w:rsidRPr="00000000" w14:paraId="00000089">
      <w:pPr>
        <w:widowControl w:val="1"/>
        <w:numPr>
          <w:ilvl w:val="0"/>
          <w:numId w:val="7"/>
        </w:numPr>
        <w:spacing w:after="0" w:lineRule="auto"/>
        <w:ind w:left="0" w:firstLine="0"/>
        <w:jc w:val="both"/>
        <w:rPr>
          <w:color w:val="000000"/>
          <w:sz w:val="24"/>
          <w:szCs w:val="24"/>
        </w:rPr>
      </w:pPr>
      <w:r w:rsidDel="00000000" w:rsidR="00000000" w:rsidRPr="00000000">
        <w:rPr>
          <w:color w:val="000000"/>
          <w:sz w:val="24"/>
          <w:szCs w:val="24"/>
          <w:rtl w:val="0"/>
        </w:rPr>
        <w:t xml:space="preserve">Patients </w:t>
      </w:r>
      <w:r w:rsidDel="00000000" w:rsidR="00000000" w:rsidRPr="00000000">
        <w:rPr>
          <w:sz w:val="24"/>
          <w:szCs w:val="24"/>
          <w:rtl w:val="0"/>
        </w:rPr>
        <w:t xml:space="preserve">who had received any treatment before the surgery or sample collection</w:t>
      </w:r>
      <w:r w:rsidDel="00000000" w:rsidR="00000000" w:rsidRPr="00000000">
        <w:rPr>
          <w:color w:val="000000"/>
          <w:sz w:val="24"/>
          <w:szCs w:val="24"/>
          <w:rtl w:val="0"/>
        </w:rPr>
        <w:t xml:space="preserve">.</w:t>
      </w:r>
    </w:p>
    <w:p w:rsidR="00000000" w:rsidDel="00000000" w:rsidP="00000000" w:rsidRDefault="00000000" w:rsidRPr="00000000" w14:paraId="0000008A">
      <w:pPr>
        <w:widowControl w:val="1"/>
        <w:numPr>
          <w:ilvl w:val="0"/>
          <w:numId w:val="7"/>
        </w:numPr>
        <w:spacing w:after="0" w:lineRule="auto"/>
        <w:ind w:left="0" w:firstLine="0"/>
        <w:jc w:val="both"/>
        <w:rPr>
          <w:color w:val="000000"/>
          <w:sz w:val="24"/>
          <w:szCs w:val="24"/>
        </w:rPr>
      </w:pPr>
      <w:r w:rsidDel="00000000" w:rsidR="00000000" w:rsidRPr="00000000">
        <w:rPr>
          <w:color w:val="000000"/>
          <w:sz w:val="24"/>
          <w:szCs w:val="24"/>
          <w:rtl w:val="0"/>
        </w:rPr>
        <w:t xml:space="preserve">Patients </w:t>
      </w:r>
      <w:r w:rsidDel="00000000" w:rsidR="00000000" w:rsidRPr="00000000">
        <w:rPr>
          <w:sz w:val="24"/>
          <w:szCs w:val="24"/>
          <w:rtl w:val="0"/>
        </w:rPr>
        <w:t xml:space="preserve">with a history</w:t>
      </w:r>
      <w:r w:rsidDel="00000000" w:rsidR="00000000" w:rsidRPr="00000000">
        <w:rPr>
          <w:color w:val="000000"/>
          <w:sz w:val="24"/>
          <w:szCs w:val="24"/>
          <w:rtl w:val="0"/>
        </w:rPr>
        <w:t xml:space="preserve"> of other head and neck malignancies.</w:t>
      </w:r>
    </w:p>
    <w:p w:rsidR="00000000" w:rsidDel="00000000" w:rsidP="00000000" w:rsidRDefault="00000000" w:rsidRPr="00000000" w14:paraId="0000008B">
      <w:pPr>
        <w:widowControl w:val="1"/>
        <w:numPr>
          <w:ilvl w:val="0"/>
          <w:numId w:val="7"/>
        </w:numPr>
        <w:spacing w:after="0" w:lineRule="auto"/>
        <w:ind w:left="0" w:firstLine="0"/>
        <w:jc w:val="both"/>
        <w:rPr>
          <w:sz w:val="24"/>
          <w:szCs w:val="24"/>
        </w:rPr>
      </w:pPr>
      <w:r w:rsidDel="00000000" w:rsidR="00000000" w:rsidRPr="00000000">
        <w:rPr>
          <w:color w:val="000000"/>
          <w:sz w:val="24"/>
          <w:szCs w:val="24"/>
          <w:rtl w:val="0"/>
        </w:rPr>
        <w:t xml:space="preserve">Patients </w:t>
      </w:r>
      <w:r w:rsidDel="00000000" w:rsidR="00000000" w:rsidRPr="00000000">
        <w:rPr>
          <w:sz w:val="24"/>
          <w:szCs w:val="24"/>
          <w:rtl w:val="0"/>
        </w:rPr>
        <w:t xml:space="preserve">with lack of follow up information</w:t>
      </w:r>
    </w:p>
    <w:p w:rsidR="00000000" w:rsidDel="00000000" w:rsidP="00000000" w:rsidRDefault="00000000" w:rsidRPr="00000000" w14:paraId="0000008C">
      <w:pPr>
        <w:widowControl w:val="1"/>
        <w:spacing w:after="0" w:lineRule="auto"/>
        <w:jc w:val="both"/>
        <w:rPr>
          <w:sz w:val="24"/>
          <w:szCs w:val="24"/>
        </w:rPr>
      </w:pPr>
      <w:r w:rsidDel="00000000" w:rsidR="00000000" w:rsidRPr="00000000">
        <w:rPr>
          <w:rtl w:val="0"/>
        </w:rPr>
      </w:r>
    </w:p>
    <w:p w:rsidR="00000000" w:rsidDel="00000000" w:rsidP="00000000" w:rsidRDefault="00000000" w:rsidRPr="00000000" w14:paraId="0000008D">
      <w:pPr>
        <w:pStyle w:val="Heading1"/>
        <w:spacing w:before="0" w:lineRule="auto"/>
        <w:jc w:val="both"/>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6. STATISTICAL CONSIDERATIONS:</w:t>
      </w:r>
    </w:p>
    <w:p w:rsidR="00000000" w:rsidDel="00000000" w:rsidP="00000000" w:rsidRDefault="00000000" w:rsidRPr="00000000" w14:paraId="0000008E">
      <w:pPr>
        <w:spacing w:after="0" w:lineRule="auto"/>
        <w:jc w:val="both"/>
        <w:rPr>
          <w:b w:val="1"/>
          <w:sz w:val="24"/>
          <w:szCs w:val="24"/>
        </w:rPr>
      </w:pPr>
      <w:r w:rsidDel="00000000" w:rsidR="00000000" w:rsidRPr="00000000">
        <w:rPr>
          <w:rtl w:val="0"/>
        </w:rPr>
      </w:r>
    </w:p>
    <w:p w:rsidR="00000000" w:rsidDel="00000000" w:rsidP="00000000" w:rsidRDefault="00000000" w:rsidRPr="00000000" w14:paraId="0000008F">
      <w:pPr>
        <w:spacing w:after="0" w:lineRule="auto"/>
        <w:jc w:val="both"/>
        <w:rPr>
          <w:sz w:val="24"/>
          <w:szCs w:val="24"/>
        </w:rPr>
      </w:pPr>
      <w:r w:rsidDel="00000000" w:rsidR="00000000" w:rsidRPr="00000000">
        <w:rPr>
          <w:b w:val="1"/>
          <w:sz w:val="24"/>
          <w:szCs w:val="24"/>
          <w:rtl w:val="0"/>
        </w:rPr>
        <w:t xml:space="preserve">6.1</w:t>
      </w:r>
      <w:r w:rsidDel="00000000" w:rsidR="00000000" w:rsidRPr="00000000">
        <w:rPr>
          <w:sz w:val="24"/>
          <w:szCs w:val="24"/>
          <w:rtl w:val="0"/>
        </w:rPr>
        <w:t xml:space="preserve"> </w:t>
      </w:r>
      <w:r w:rsidDel="00000000" w:rsidR="00000000" w:rsidRPr="00000000">
        <w:rPr>
          <w:b w:val="1"/>
          <w:sz w:val="24"/>
          <w:szCs w:val="24"/>
          <w:rtl w:val="0"/>
        </w:rPr>
        <w:t xml:space="preserve">Sample size calculations</w:t>
      </w:r>
      <w:r w:rsidDel="00000000" w:rsidR="00000000" w:rsidRPr="00000000">
        <w:rPr>
          <w:rtl w:val="0"/>
        </w:rPr>
      </w:r>
    </w:p>
    <w:p w:rsidR="00000000" w:rsidDel="00000000" w:rsidP="00000000" w:rsidRDefault="00000000" w:rsidRPr="00000000" w14:paraId="00000090">
      <w:pPr>
        <w:spacing w:after="0" w:lineRule="auto"/>
        <w:jc w:val="both"/>
        <w:rPr>
          <w:sz w:val="24"/>
          <w:szCs w:val="24"/>
        </w:rPr>
      </w:pPr>
      <w:r w:rsidDel="00000000" w:rsidR="00000000" w:rsidRPr="00000000">
        <w:rPr>
          <w:sz w:val="24"/>
          <w:szCs w:val="24"/>
          <w:rtl w:val="0"/>
        </w:rPr>
        <w:t xml:space="preserve">A total of 24 tissue blocks of each tumor from the suggested prognostic sub-type classification will be taken. In recent studies, for example; spatial insights into immunotherapy response in non-small cell lung cancer (NSCLC) by multiplexed tissue imaging with the intent of understanding of the heterogeneity of the TME, a TMA of 42 samples have been used [15]. Therefore, considering few loss of tissue cores, our proposal to take 2 cores from 21 tumors (total 42 cores) of each of the suggested prognostic sub-type classification should be appropriate for this study. </w:t>
      </w:r>
    </w:p>
    <w:p w:rsidR="00000000" w:rsidDel="00000000" w:rsidP="00000000" w:rsidRDefault="00000000" w:rsidRPr="00000000" w14:paraId="00000091">
      <w:pPr>
        <w:widowControl w:val="1"/>
        <w:numPr>
          <w:ilvl w:val="1"/>
          <w:numId w:val="8"/>
        </w:numPr>
        <w:spacing w:after="27" w:lineRule="auto"/>
        <w:ind w:left="0" w:firstLine="0"/>
        <w:jc w:val="both"/>
        <w:rPr>
          <w:color w:val="000000"/>
          <w:sz w:val="24"/>
          <w:szCs w:val="24"/>
        </w:rPr>
      </w:pPr>
      <w:r w:rsidDel="00000000" w:rsidR="00000000" w:rsidRPr="00000000">
        <w:rPr>
          <w:rtl w:val="0"/>
        </w:rPr>
      </w:r>
    </w:p>
    <w:p w:rsidR="00000000" w:rsidDel="00000000" w:rsidP="00000000" w:rsidRDefault="00000000" w:rsidRPr="00000000" w14:paraId="00000092">
      <w:pPr>
        <w:widowControl w:val="1"/>
        <w:spacing w:after="27" w:lineRule="auto"/>
        <w:jc w:val="both"/>
        <w:rPr>
          <w:color w:val="000000"/>
          <w:sz w:val="24"/>
          <w:szCs w:val="24"/>
        </w:rPr>
      </w:pPr>
      <w:r w:rsidDel="00000000" w:rsidR="00000000" w:rsidRPr="00000000">
        <w:rPr>
          <w:b w:val="1"/>
          <w:color w:val="000000"/>
          <w:sz w:val="24"/>
          <w:szCs w:val="24"/>
          <w:rtl w:val="0"/>
        </w:rPr>
        <w:t xml:space="preserve">6.2</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Statistical and machine learning approach</w:t>
      </w:r>
      <w:r w:rsidDel="00000000" w:rsidR="00000000" w:rsidRPr="00000000">
        <w:rPr>
          <w:rtl w:val="0"/>
        </w:rPr>
      </w:r>
    </w:p>
    <w:p w:rsidR="00000000" w:rsidDel="00000000" w:rsidP="00000000" w:rsidRDefault="00000000" w:rsidRPr="00000000" w14:paraId="00000093">
      <w:pPr>
        <w:spacing w:after="0" w:lineRule="auto"/>
        <w:jc w:val="both"/>
        <w:rPr>
          <w:sz w:val="24"/>
          <w:szCs w:val="24"/>
        </w:rPr>
      </w:pPr>
      <w:r w:rsidDel="00000000" w:rsidR="00000000" w:rsidRPr="00000000">
        <w:rPr>
          <w:sz w:val="24"/>
          <w:szCs w:val="24"/>
          <w:rtl w:val="0"/>
        </w:rPr>
        <w:t xml:space="preserve">Kindly refer the Methods section</w:t>
      </w:r>
    </w:p>
    <w:p w:rsidR="00000000" w:rsidDel="00000000" w:rsidP="00000000" w:rsidRDefault="00000000" w:rsidRPr="00000000" w14:paraId="00000094">
      <w:pPr>
        <w:spacing w:after="0" w:lineRule="auto"/>
        <w:jc w:val="both"/>
        <w:rPr>
          <w:sz w:val="24"/>
          <w:szCs w:val="24"/>
        </w:rPr>
      </w:pPr>
      <w:r w:rsidDel="00000000" w:rsidR="00000000" w:rsidRPr="00000000">
        <w:rPr>
          <w:rtl w:val="0"/>
        </w:rPr>
      </w:r>
    </w:p>
    <w:p w:rsidR="00000000" w:rsidDel="00000000" w:rsidP="00000000" w:rsidRDefault="00000000" w:rsidRPr="00000000" w14:paraId="00000095">
      <w:pPr>
        <w:pStyle w:val="Heading1"/>
        <w:spacing w:before="0" w:lineRule="auto"/>
        <w:jc w:val="both"/>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7.</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b w:val="1"/>
          <w:color w:val="000000"/>
          <w:sz w:val="24"/>
          <w:szCs w:val="24"/>
          <w:rtl w:val="0"/>
        </w:rPr>
        <w:t xml:space="preserve">ADMINISTRATIVE ASPECTS:</w:t>
      </w:r>
    </w:p>
    <w:p w:rsidR="00000000" w:rsidDel="00000000" w:rsidP="00000000" w:rsidRDefault="00000000" w:rsidRPr="00000000" w14:paraId="00000096">
      <w:pPr>
        <w:spacing w:after="0" w:lineRule="auto"/>
        <w:jc w:val="both"/>
        <w:rPr>
          <w:sz w:val="24"/>
          <w:szCs w:val="24"/>
        </w:rPr>
      </w:pPr>
      <w:r w:rsidDel="00000000" w:rsidR="00000000" w:rsidRPr="00000000">
        <w:rPr>
          <w:sz w:val="24"/>
          <w:szCs w:val="24"/>
          <w:rtl w:val="0"/>
        </w:rPr>
        <w:t xml:space="preserve">Tata Medical Center will be the coordinating center for this study, and thus will be responsible for all aspects of data management. </w:t>
      </w:r>
    </w:p>
    <w:p w:rsidR="00000000" w:rsidDel="00000000" w:rsidP="00000000" w:rsidRDefault="00000000" w:rsidRPr="00000000" w14:paraId="00000097">
      <w:pPr>
        <w:spacing w:after="0" w:lineRule="auto"/>
        <w:jc w:val="both"/>
        <w:rPr>
          <w:sz w:val="24"/>
          <w:szCs w:val="24"/>
        </w:rPr>
      </w:pPr>
      <w:r w:rsidDel="00000000" w:rsidR="00000000" w:rsidRPr="00000000">
        <w:rPr>
          <w:rtl w:val="0"/>
        </w:rPr>
      </w:r>
    </w:p>
    <w:p w:rsidR="00000000" w:rsidDel="00000000" w:rsidP="00000000" w:rsidRDefault="00000000" w:rsidRPr="00000000" w14:paraId="00000098">
      <w:pPr>
        <w:spacing w:after="0" w:lineRule="auto"/>
        <w:jc w:val="both"/>
        <w:rPr>
          <w:b w:val="1"/>
          <w:sz w:val="24"/>
          <w:szCs w:val="24"/>
        </w:rPr>
      </w:pPr>
      <w:r w:rsidDel="00000000" w:rsidR="00000000" w:rsidRPr="00000000">
        <w:rPr>
          <w:b w:val="1"/>
          <w:sz w:val="24"/>
          <w:szCs w:val="24"/>
          <w:rtl w:val="0"/>
        </w:rPr>
        <w:t xml:space="preserve">7.1.  Quality Assurance</w:t>
      </w:r>
    </w:p>
    <w:p w:rsidR="00000000" w:rsidDel="00000000" w:rsidP="00000000" w:rsidRDefault="00000000" w:rsidRPr="00000000" w14:paraId="00000099">
      <w:pPr>
        <w:spacing w:after="0" w:lineRule="auto"/>
        <w:jc w:val="both"/>
        <w:rPr>
          <w:sz w:val="24"/>
          <w:szCs w:val="24"/>
        </w:rPr>
      </w:pPr>
      <w:r w:rsidDel="00000000" w:rsidR="00000000" w:rsidRPr="00000000">
        <w:rPr>
          <w:sz w:val="24"/>
          <w:szCs w:val="24"/>
          <w:rtl w:val="0"/>
        </w:rPr>
        <w:t xml:space="preserve">Tata Medical Center will be the coordinating center for this study and will thus be responsible for all aspects of quality assurance. </w:t>
      </w:r>
    </w:p>
    <w:p w:rsidR="00000000" w:rsidDel="00000000" w:rsidP="00000000" w:rsidRDefault="00000000" w:rsidRPr="00000000" w14:paraId="0000009A">
      <w:pPr>
        <w:spacing w:after="0" w:lineRule="auto"/>
        <w:jc w:val="both"/>
        <w:rPr>
          <w:sz w:val="24"/>
          <w:szCs w:val="24"/>
        </w:rPr>
      </w:pPr>
      <w:r w:rsidDel="00000000" w:rsidR="00000000" w:rsidRPr="00000000">
        <w:rPr>
          <w:rtl w:val="0"/>
        </w:rPr>
      </w:r>
    </w:p>
    <w:p w:rsidR="00000000" w:rsidDel="00000000" w:rsidP="00000000" w:rsidRDefault="00000000" w:rsidRPr="00000000" w14:paraId="0000009B">
      <w:pPr>
        <w:pStyle w:val="Heading2"/>
        <w:spacing w:before="0" w:lineRule="auto"/>
        <w:jc w:val="both"/>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7.2. Study Record Retention</w:t>
      </w:r>
    </w:p>
    <w:p w:rsidR="00000000" w:rsidDel="00000000" w:rsidP="00000000" w:rsidRDefault="00000000" w:rsidRPr="00000000" w14:paraId="0000009C">
      <w:pPr>
        <w:widowControl w:val="1"/>
        <w:spacing w:after="0" w:lineRule="auto"/>
        <w:jc w:val="both"/>
        <w:rPr>
          <w:color w:val="000000"/>
          <w:sz w:val="24"/>
          <w:szCs w:val="24"/>
        </w:rPr>
      </w:pPr>
      <w:r w:rsidDel="00000000" w:rsidR="00000000" w:rsidRPr="00000000">
        <w:rPr>
          <w:color w:val="000000"/>
          <w:sz w:val="24"/>
          <w:szCs w:val="24"/>
          <w:rtl w:val="0"/>
        </w:rPr>
        <w:t xml:space="preserve">The data will be kept for 10 years after the completion of this study. The data will be stored </w:t>
      </w:r>
      <w:r w:rsidDel="00000000" w:rsidR="00000000" w:rsidRPr="00000000">
        <w:rPr>
          <w:sz w:val="24"/>
          <w:szCs w:val="24"/>
          <w:rtl w:val="0"/>
        </w:rPr>
        <w:t xml:space="preserve">in the archiving</w:t>
      </w:r>
      <w:r w:rsidDel="00000000" w:rsidR="00000000" w:rsidRPr="00000000">
        <w:rPr>
          <w:color w:val="000000"/>
          <w:sz w:val="24"/>
          <w:szCs w:val="24"/>
          <w:rtl w:val="0"/>
        </w:rPr>
        <w:t xml:space="preserve"> library at Tata Medical </w:t>
      </w:r>
      <w:r w:rsidDel="00000000" w:rsidR="00000000" w:rsidRPr="00000000">
        <w:rPr>
          <w:sz w:val="24"/>
          <w:szCs w:val="24"/>
          <w:rtl w:val="0"/>
        </w:rPr>
        <w:t xml:space="preserve">center</w:t>
      </w:r>
      <w:r w:rsidDel="00000000" w:rsidR="00000000" w:rsidRPr="00000000">
        <w:rPr>
          <w:color w:val="000000"/>
          <w:sz w:val="24"/>
          <w:szCs w:val="24"/>
          <w:rtl w:val="0"/>
        </w:rPr>
        <w:t xml:space="preserve"> and the confidentiality will be maintained. </w:t>
      </w:r>
    </w:p>
    <w:p w:rsidR="00000000" w:rsidDel="00000000" w:rsidP="00000000" w:rsidRDefault="00000000" w:rsidRPr="00000000" w14:paraId="0000009D">
      <w:pPr>
        <w:widowControl w:val="1"/>
        <w:spacing w:after="0" w:lineRule="auto"/>
        <w:jc w:val="both"/>
        <w:rPr>
          <w:color w:val="000000"/>
          <w:sz w:val="24"/>
          <w:szCs w:val="24"/>
        </w:rPr>
      </w:pPr>
      <w:r w:rsidDel="00000000" w:rsidR="00000000" w:rsidRPr="00000000">
        <w:rPr>
          <w:rtl w:val="0"/>
        </w:rPr>
      </w:r>
    </w:p>
    <w:p w:rsidR="00000000" w:rsidDel="00000000" w:rsidP="00000000" w:rsidRDefault="00000000" w:rsidRPr="00000000" w14:paraId="0000009E">
      <w:pPr>
        <w:pStyle w:val="Heading2"/>
        <w:spacing w:before="0" w:lineRule="auto"/>
        <w:jc w:val="both"/>
        <w:rPr>
          <w:rFonts w:ascii="Calibri" w:cs="Calibri" w:eastAsia="Calibri" w:hAnsi="Calibri"/>
          <w:b w:val="1"/>
          <w:smallCaps w:val="1"/>
          <w:color w:val="000000"/>
          <w:sz w:val="24"/>
          <w:szCs w:val="24"/>
        </w:rPr>
      </w:pPr>
      <w:r w:rsidDel="00000000" w:rsidR="00000000" w:rsidRPr="00000000">
        <w:rPr>
          <w:rFonts w:ascii="Calibri" w:cs="Calibri" w:eastAsia="Calibri" w:hAnsi="Calibri"/>
          <w:b w:val="1"/>
          <w:smallCaps w:val="1"/>
          <w:color w:val="000000"/>
          <w:sz w:val="24"/>
          <w:szCs w:val="24"/>
          <w:rtl w:val="0"/>
        </w:rPr>
        <w:t xml:space="preserve">7.3. P</w:t>
      </w:r>
      <w:r w:rsidDel="00000000" w:rsidR="00000000" w:rsidRPr="00000000">
        <w:rPr>
          <w:rFonts w:ascii="Calibri" w:cs="Calibri" w:eastAsia="Calibri" w:hAnsi="Calibri"/>
          <w:b w:val="1"/>
          <w:color w:val="000000"/>
          <w:sz w:val="24"/>
          <w:szCs w:val="24"/>
          <w:rtl w:val="0"/>
        </w:rPr>
        <w:t xml:space="preserve">rotection of human subject</w:t>
      </w:r>
      <w:r w:rsidDel="00000000" w:rsidR="00000000" w:rsidRPr="00000000">
        <w:rPr>
          <w:rFonts w:ascii="Calibri" w:cs="Calibri" w:eastAsia="Calibri" w:hAnsi="Calibri"/>
          <w:b w:val="1"/>
          <w:smallCaps w:val="1"/>
          <w:color w:val="000000"/>
          <w:sz w:val="24"/>
          <w:szCs w:val="24"/>
          <w:rtl w:val="0"/>
        </w:rPr>
        <w:t xml:space="preserve">s</w:t>
      </w:r>
    </w:p>
    <w:p w:rsidR="00000000" w:rsidDel="00000000" w:rsidP="00000000" w:rsidRDefault="00000000" w:rsidRPr="00000000" w14:paraId="0000009F">
      <w:pPr>
        <w:spacing w:after="0" w:lineRule="auto"/>
        <w:jc w:val="both"/>
        <w:rPr>
          <w:sz w:val="24"/>
          <w:szCs w:val="24"/>
        </w:rPr>
      </w:pPr>
      <w:r w:rsidDel="00000000" w:rsidR="00000000" w:rsidRPr="00000000">
        <w:rPr>
          <w:sz w:val="24"/>
          <w:szCs w:val="24"/>
          <w:rtl w:val="0"/>
        </w:rPr>
        <w:t xml:space="preserve">No human subjects are involved directly for this study.</w:t>
      </w:r>
    </w:p>
    <w:p w:rsidR="00000000" w:rsidDel="00000000" w:rsidP="00000000" w:rsidRDefault="00000000" w:rsidRPr="00000000" w14:paraId="000000A0">
      <w:pPr>
        <w:spacing w:after="0" w:lineRule="auto"/>
        <w:jc w:val="both"/>
        <w:rPr>
          <w:sz w:val="24"/>
          <w:szCs w:val="24"/>
        </w:rPr>
      </w:pPr>
      <w:r w:rsidDel="00000000" w:rsidR="00000000" w:rsidRPr="00000000">
        <w:rPr>
          <w:rtl w:val="0"/>
        </w:rPr>
      </w:r>
    </w:p>
    <w:p w:rsidR="00000000" w:rsidDel="00000000" w:rsidP="00000000" w:rsidRDefault="00000000" w:rsidRPr="00000000" w14:paraId="000000A1">
      <w:pPr>
        <w:spacing w:after="0" w:lineRule="auto"/>
        <w:jc w:val="both"/>
        <w:rPr>
          <w:sz w:val="24"/>
          <w:szCs w:val="24"/>
        </w:rPr>
      </w:pPr>
      <w:r w:rsidDel="00000000" w:rsidR="00000000" w:rsidRPr="00000000">
        <w:rPr>
          <w:b w:val="1"/>
          <w:sz w:val="24"/>
          <w:szCs w:val="24"/>
          <w:rtl w:val="0"/>
        </w:rPr>
        <w:t xml:space="preserve">7.4. Confidentiality</w:t>
      </w:r>
      <w:r w:rsidDel="00000000" w:rsidR="00000000" w:rsidRPr="00000000">
        <w:rPr>
          <w:rtl w:val="0"/>
        </w:rPr>
      </w:r>
    </w:p>
    <w:p w:rsidR="00000000" w:rsidDel="00000000" w:rsidP="00000000" w:rsidRDefault="00000000" w:rsidRPr="00000000" w14:paraId="000000A2">
      <w:pPr>
        <w:widowControl w:val="1"/>
        <w:spacing w:after="0" w:lineRule="auto"/>
        <w:jc w:val="both"/>
        <w:rPr>
          <w:color w:val="000000"/>
          <w:sz w:val="24"/>
          <w:szCs w:val="24"/>
        </w:rPr>
      </w:pPr>
      <w:r w:rsidDel="00000000" w:rsidR="00000000" w:rsidRPr="00000000">
        <w:rPr>
          <w:color w:val="000000"/>
          <w:sz w:val="24"/>
          <w:szCs w:val="24"/>
          <w:rtl w:val="0"/>
        </w:rPr>
        <w:t xml:space="preserve">Subject confidentiality is strictly held in trust by the participating investigators and research staff. The study protocol, documentation, data and all other information generated will be held in strict confidence. No information concerning the study or the data will be released to any unauthorized third party, without prior written approval. Authorized representatives may inspect all documents and records required to be maintained by the Investigator, including but not limited to, medical records for the subjects in this study. The clinical study site will permit access to such records. All evaluation forms, records that leave the site will be identified only by the Subject Identification Number (SID) to maintain subject confidentiality. Clinical information will not be released without written permission of the subject, except as necessary for monitoring by IERB or regulatory agencies.</w:t>
      </w:r>
    </w:p>
    <w:p w:rsidR="00000000" w:rsidDel="00000000" w:rsidP="00000000" w:rsidRDefault="00000000" w:rsidRPr="00000000" w14:paraId="000000A3">
      <w:pPr>
        <w:widowControl w:val="1"/>
        <w:spacing w:after="0" w:lineRule="auto"/>
        <w:jc w:val="both"/>
        <w:rPr>
          <w:color w:val="000000"/>
          <w:sz w:val="24"/>
          <w:szCs w:val="24"/>
        </w:rPr>
      </w:pPr>
      <w:r w:rsidDel="00000000" w:rsidR="00000000" w:rsidRPr="00000000">
        <w:rPr>
          <w:rtl w:val="0"/>
        </w:rPr>
      </w:r>
    </w:p>
    <w:p w:rsidR="00000000" w:rsidDel="00000000" w:rsidP="00000000" w:rsidRDefault="00000000" w:rsidRPr="00000000" w14:paraId="000000A4">
      <w:pPr>
        <w:widowControl w:val="1"/>
        <w:spacing w:after="0" w:lineRule="auto"/>
        <w:jc w:val="both"/>
        <w:rPr>
          <w:color w:val="000000"/>
          <w:sz w:val="24"/>
          <w:szCs w:val="24"/>
        </w:rPr>
      </w:pPr>
      <w:r w:rsidDel="00000000" w:rsidR="00000000" w:rsidRPr="00000000">
        <w:rPr>
          <w:b w:val="1"/>
          <w:color w:val="000000"/>
          <w:sz w:val="24"/>
          <w:szCs w:val="24"/>
          <w:rtl w:val="0"/>
        </w:rPr>
        <w:t xml:space="preserve">7.5. IRB Approval</w:t>
      </w:r>
      <w:r w:rsidDel="00000000" w:rsidR="00000000" w:rsidRPr="00000000">
        <w:rPr>
          <w:rtl w:val="0"/>
        </w:rPr>
      </w:r>
    </w:p>
    <w:p w:rsidR="00000000" w:rsidDel="00000000" w:rsidP="00000000" w:rsidRDefault="00000000" w:rsidRPr="00000000" w14:paraId="000000A5">
      <w:pPr>
        <w:widowControl w:val="1"/>
        <w:spacing w:after="0" w:lineRule="auto"/>
        <w:jc w:val="both"/>
        <w:rPr>
          <w:color w:val="000000"/>
          <w:sz w:val="24"/>
          <w:szCs w:val="24"/>
        </w:rPr>
      </w:pPr>
      <w:r w:rsidDel="00000000" w:rsidR="00000000" w:rsidRPr="00000000">
        <w:rPr>
          <w:color w:val="000000"/>
          <w:sz w:val="24"/>
          <w:szCs w:val="24"/>
          <w:rtl w:val="0"/>
        </w:rPr>
        <w:t xml:space="preserve">A letter of protocol approval by IRB will be obtained prior to the commencement of the study.</w:t>
      </w:r>
    </w:p>
    <w:p w:rsidR="00000000" w:rsidDel="00000000" w:rsidP="00000000" w:rsidRDefault="00000000" w:rsidRPr="00000000" w14:paraId="000000A6">
      <w:pPr>
        <w:widowControl w:val="1"/>
        <w:spacing w:after="0" w:lineRule="auto"/>
        <w:jc w:val="both"/>
        <w:rPr>
          <w:color w:val="000000"/>
          <w:sz w:val="24"/>
          <w:szCs w:val="24"/>
        </w:rPr>
      </w:pPr>
      <w:r w:rsidDel="00000000" w:rsidR="00000000" w:rsidRPr="00000000">
        <w:rPr>
          <w:rtl w:val="0"/>
        </w:rPr>
      </w:r>
    </w:p>
    <w:p w:rsidR="00000000" w:rsidDel="00000000" w:rsidP="00000000" w:rsidRDefault="00000000" w:rsidRPr="00000000" w14:paraId="000000A7">
      <w:pPr>
        <w:widowControl w:val="1"/>
        <w:spacing w:after="0" w:lineRule="auto"/>
        <w:jc w:val="both"/>
        <w:rPr>
          <w:color w:val="000000"/>
          <w:sz w:val="24"/>
          <w:szCs w:val="24"/>
        </w:rPr>
      </w:pPr>
      <w:r w:rsidDel="00000000" w:rsidR="00000000" w:rsidRPr="00000000">
        <w:rPr>
          <w:b w:val="1"/>
          <w:color w:val="000000"/>
          <w:sz w:val="24"/>
          <w:szCs w:val="24"/>
          <w:rtl w:val="0"/>
        </w:rPr>
        <w:t xml:space="preserve">7.6. Modifications of the Protocol</w:t>
      </w:r>
      <w:r w:rsidDel="00000000" w:rsidR="00000000" w:rsidRPr="00000000">
        <w:rPr>
          <w:rtl w:val="0"/>
        </w:rPr>
      </w:r>
    </w:p>
    <w:p w:rsidR="00000000" w:rsidDel="00000000" w:rsidP="00000000" w:rsidRDefault="00000000" w:rsidRPr="00000000" w14:paraId="000000A8">
      <w:pPr>
        <w:widowControl w:val="1"/>
        <w:spacing w:after="0" w:lineRule="auto"/>
        <w:jc w:val="both"/>
        <w:rPr>
          <w:color w:val="000000"/>
          <w:sz w:val="24"/>
          <w:szCs w:val="24"/>
        </w:rPr>
      </w:pPr>
      <w:r w:rsidDel="00000000" w:rsidR="00000000" w:rsidRPr="00000000">
        <w:rPr>
          <w:color w:val="000000"/>
          <w:sz w:val="24"/>
          <w:szCs w:val="24"/>
          <w:rtl w:val="0"/>
        </w:rPr>
        <w:t xml:space="preserve">This study will be conducted in compliance with the current version of the protocol. Any change to the protocol document affects the scientific intent, study design, will be considered an amendment, and therefore will be written and filed as an amendment to this protocol. All such amendments will be submitted to the IERB, for approval prior to becoming effective.</w:t>
      </w:r>
    </w:p>
    <w:p w:rsidR="00000000" w:rsidDel="00000000" w:rsidP="00000000" w:rsidRDefault="00000000" w:rsidRPr="00000000" w14:paraId="000000A9">
      <w:pPr>
        <w:widowControl w:val="1"/>
        <w:spacing w:after="0" w:lineRule="auto"/>
        <w:jc w:val="both"/>
        <w:rPr>
          <w:color w:val="000000"/>
          <w:sz w:val="24"/>
          <w:szCs w:val="24"/>
        </w:rPr>
      </w:pPr>
      <w:r w:rsidDel="00000000" w:rsidR="00000000" w:rsidRPr="00000000">
        <w:rPr>
          <w:rtl w:val="0"/>
        </w:rPr>
      </w:r>
    </w:p>
    <w:p w:rsidR="00000000" w:rsidDel="00000000" w:rsidP="00000000" w:rsidRDefault="00000000" w:rsidRPr="00000000" w14:paraId="000000AA">
      <w:pPr>
        <w:widowControl w:val="1"/>
        <w:spacing w:after="0" w:lineRule="auto"/>
        <w:jc w:val="both"/>
        <w:rPr>
          <w:color w:val="000000"/>
          <w:sz w:val="24"/>
          <w:szCs w:val="24"/>
        </w:rPr>
      </w:pPr>
      <w:r w:rsidDel="00000000" w:rsidR="00000000" w:rsidRPr="00000000">
        <w:rPr>
          <w:b w:val="1"/>
          <w:smallCaps w:val="1"/>
          <w:color w:val="000000"/>
          <w:sz w:val="24"/>
          <w:szCs w:val="24"/>
          <w:rtl w:val="0"/>
        </w:rPr>
        <w:t xml:space="preserve">7.7. U</w:t>
      </w:r>
      <w:r w:rsidDel="00000000" w:rsidR="00000000" w:rsidRPr="00000000">
        <w:rPr>
          <w:b w:val="1"/>
          <w:color w:val="000000"/>
          <w:sz w:val="24"/>
          <w:szCs w:val="24"/>
          <w:rtl w:val="0"/>
        </w:rPr>
        <w:t xml:space="preserve">se of data and publications policy</w:t>
      </w:r>
      <w:r w:rsidDel="00000000" w:rsidR="00000000" w:rsidRPr="00000000">
        <w:rPr>
          <w:rtl w:val="0"/>
        </w:rPr>
      </w:r>
    </w:p>
    <w:p w:rsidR="00000000" w:rsidDel="00000000" w:rsidP="00000000" w:rsidRDefault="00000000" w:rsidRPr="00000000" w14:paraId="000000AB">
      <w:pPr>
        <w:spacing w:after="0" w:lineRule="auto"/>
        <w:jc w:val="both"/>
        <w:rPr>
          <w:sz w:val="24"/>
          <w:szCs w:val="24"/>
        </w:rPr>
      </w:pPr>
      <w:r w:rsidDel="00000000" w:rsidR="00000000" w:rsidRPr="00000000">
        <w:rPr>
          <w:sz w:val="24"/>
          <w:szCs w:val="24"/>
          <w:rtl w:val="0"/>
        </w:rPr>
        <w:t xml:space="preserve">After collecting all the required data, manuscript will be prepared and submitted for publication after completion of the study.</w:t>
      </w:r>
    </w:p>
    <w:p w:rsidR="00000000" w:rsidDel="00000000" w:rsidP="00000000" w:rsidRDefault="00000000" w:rsidRPr="00000000" w14:paraId="000000AC">
      <w:pPr>
        <w:spacing w:after="0" w:lineRule="auto"/>
        <w:jc w:val="both"/>
        <w:rPr>
          <w:sz w:val="24"/>
          <w:szCs w:val="24"/>
        </w:rPr>
      </w:pPr>
      <w:r w:rsidDel="00000000" w:rsidR="00000000" w:rsidRPr="00000000">
        <w:rPr>
          <w:rtl w:val="0"/>
        </w:rPr>
      </w:r>
    </w:p>
    <w:p w:rsidR="00000000" w:rsidDel="00000000" w:rsidP="00000000" w:rsidRDefault="00000000" w:rsidRPr="00000000" w14:paraId="000000AD">
      <w:pPr>
        <w:pStyle w:val="Heading1"/>
        <w:spacing w:before="0" w:lineRule="auto"/>
        <w:jc w:val="both"/>
        <w:rPr>
          <w:rFonts w:ascii="Calibri" w:cs="Calibri" w:eastAsia="Calibri" w:hAnsi="Calibri"/>
          <w:b w:val="1"/>
          <w:color w:val="000000"/>
          <w:sz w:val="24"/>
          <w:szCs w:val="24"/>
        </w:rPr>
      </w:pPr>
      <w:r w:rsidDel="00000000" w:rsidR="00000000" w:rsidRPr="00000000">
        <w:rPr>
          <w:rFonts w:ascii="Calibri" w:cs="Calibri" w:eastAsia="Calibri" w:hAnsi="Calibri"/>
          <w:b w:val="1"/>
          <w:color w:val="000000"/>
          <w:sz w:val="24"/>
          <w:szCs w:val="24"/>
          <w:rtl w:val="0"/>
        </w:rPr>
        <w:t xml:space="preserve">8.</w:t>
      </w:r>
      <w:r w:rsidDel="00000000" w:rsidR="00000000" w:rsidRPr="00000000">
        <w:rPr>
          <w:rFonts w:ascii="Calibri" w:cs="Calibri" w:eastAsia="Calibri" w:hAnsi="Calibri"/>
          <w:color w:val="000000"/>
          <w:sz w:val="24"/>
          <w:szCs w:val="24"/>
          <w:rtl w:val="0"/>
        </w:rPr>
        <w:t xml:space="preserve"> </w:t>
      </w:r>
      <w:r w:rsidDel="00000000" w:rsidR="00000000" w:rsidRPr="00000000">
        <w:rPr>
          <w:rFonts w:ascii="Calibri" w:cs="Calibri" w:eastAsia="Calibri" w:hAnsi="Calibri"/>
          <w:b w:val="1"/>
          <w:color w:val="000000"/>
          <w:sz w:val="24"/>
          <w:szCs w:val="24"/>
          <w:rtl w:val="0"/>
        </w:rPr>
        <w:t xml:space="preserve">STUDY CLOSURE:</w:t>
      </w:r>
    </w:p>
    <w:p w:rsidR="00000000" w:rsidDel="00000000" w:rsidP="00000000" w:rsidRDefault="00000000" w:rsidRPr="00000000" w14:paraId="000000AE">
      <w:pPr>
        <w:spacing w:after="0" w:lineRule="auto"/>
        <w:jc w:val="both"/>
        <w:rPr>
          <w:sz w:val="24"/>
          <w:szCs w:val="24"/>
        </w:rPr>
      </w:pPr>
      <w:r w:rsidDel="00000000" w:rsidR="00000000" w:rsidRPr="00000000">
        <w:rPr>
          <w:sz w:val="24"/>
          <w:szCs w:val="24"/>
          <w:rtl w:val="0"/>
        </w:rPr>
        <w:t xml:space="preserve">The study should be closed in 3 years after the TMA is constructed. </w:t>
      </w:r>
    </w:p>
    <w:p w:rsidR="00000000" w:rsidDel="00000000" w:rsidP="00000000" w:rsidRDefault="00000000" w:rsidRPr="00000000" w14:paraId="000000AF">
      <w:pPr>
        <w:spacing w:after="0" w:lineRule="auto"/>
        <w:jc w:val="both"/>
        <w:rPr>
          <w:sz w:val="24"/>
          <w:szCs w:val="24"/>
        </w:rPr>
      </w:pPr>
      <w:r w:rsidDel="00000000" w:rsidR="00000000" w:rsidRPr="00000000">
        <w:rPr>
          <w:rtl w:val="0"/>
        </w:rPr>
      </w:r>
    </w:p>
    <w:p w:rsidR="00000000" w:rsidDel="00000000" w:rsidP="00000000" w:rsidRDefault="00000000" w:rsidRPr="00000000" w14:paraId="000000B0">
      <w:pPr>
        <w:spacing w:after="0" w:lineRule="auto"/>
        <w:jc w:val="both"/>
        <w:rPr>
          <w:sz w:val="24"/>
          <w:szCs w:val="24"/>
        </w:rPr>
      </w:pPr>
      <w:r w:rsidDel="00000000" w:rsidR="00000000" w:rsidRPr="00000000">
        <w:rPr>
          <w:rtl w:val="0"/>
        </w:rPr>
      </w:r>
    </w:p>
    <w:p w:rsidR="00000000" w:rsidDel="00000000" w:rsidP="00000000" w:rsidRDefault="00000000" w:rsidRPr="00000000" w14:paraId="000000B1">
      <w:pPr>
        <w:pStyle w:val="Heading1"/>
        <w:spacing w:before="0" w:lineRule="auto"/>
        <w:jc w:val="both"/>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0B2">
      <w:pPr>
        <w:pStyle w:val="Heading1"/>
        <w:spacing w:before="0" w:lineRule="auto"/>
        <w:jc w:val="both"/>
        <w:rPr>
          <w:rFonts w:ascii="Calibri" w:cs="Calibri" w:eastAsia="Calibri" w:hAnsi="Calibri"/>
          <w:sz w:val="24"/>
          <w:szCs w:val="24"/>
        </w:rPr>
      </w:pPr>
      <w:r w:rsidDel="00000000" w:rsidR="00000000" w:rsidRPr="00000000">
        <w:rPr>
          <w:rFonts w:ascii="Calibri" w:cs="Calibri" w:eastAsia="Calibri" w:hAnsi="Calibri"/>
          <w:b w:val="1"/>
          <w:color w:val="000000"/>
          <w:sz w:val="24"/>
          <w:szCs w:val="24"/>
          <w:rtl w:val="0"/>
        </w:rPr>
        <w:t xml:space="preserve">9. REFERENCES:</w:t>
      </w:r>
      <w:r w:rsidDel="00000000" w:rsidR="00000000" w:rsidRPr="00000000">
        <w:rPr>
          <w:rtl w:val="0"/>
        </w:rPr>
      </w:r>
    </w:p>
    <w:p w:rsidR="00000000" w:rsidDel="00000000" w:rsidP="00000000" w:rsidRDefault="00000000" w:rsidRPr="00000000" w14:paraId="000000B3">
      <w:pPr>
        <w:widowControl w:val="1"/>
        <w:numPr>
          <w:ilvl w:val="0"/>
          <w:numId w:val="1"/>
        </w:numPr>
        <w:spacing w:after="0" w:before="100" w:line="271" w:lineRule="auto"/>
        <w:ind w:left="0" w:firstLine="0"/>
        <w:rPr>
          <w:sz w:val="24"/>
          <w:szCs w:val="24"/>
        </w:rPr>
      </w:pPr>
      <w:r w:rsidDel="00000000" w:rsidR="00000000" w:rsidRPr="00000000">
        <w:rPr>
          <w:color w:val="212121"/>
          <w:sz w:val="24"/>
          <w:szCs w:val="24"/>
          <w:highlight w:val="white"/>
          <w:rtl w:val="0"/>
        </w:rPr>
        <w:t xml:space="preserve">Capp, J. P., DeGregori, J., Nedelcu, A. M., Dujon, A. M., Boutry, J., Pujol, P., Alix-Panabières, C., Hamede, R., Roche, B., Ujvari, B., Marusyk, A., Gatenby, R., &amp; Thomas, F. (2021). Group phenotypic composition in cancer. </w:t>
      </w:r>
      <w:r w:rsidDel="00000000" w:rsidR="00000000" w:rsidRPr="00000000">
        <w:rPr>
          <w:i w:val="1"/>
          <w:color w:val="212121"/>
          <w:sz w:val="24"/>
          <w:szCs w:val="24"/>
          <w:highlight w:val="white"/>
          <w:rtl w:val="0"/>
        </w:rPr>
        <w:t xml:space="preserve">eLife</w:t>
      </w:r>
      <w:r w:rsidDel="00000000" w:rsidR="00000000" w:rsidRPr="00000000">
        <w:rPr>
          <w:color w:val="212121"/>
          <w:sz w:val="24"/>
          <w:szCs w:val="24"/>
          <w:highlight w:val="white"/>
          <w:rtl w:val="0"/>
        </w:rPr>
        <w:t xml:space="preserve">, </w:t>
      </w:r>
      <w:r w:rsidDel="00000000" w:rsidR="00000000" w:rsidRPr="00000000">
        <w:rPr>
          <w:i w:val="1"/>
          <w:color w:val="212121"/>
          <w:sz w:val="24"/>
          <w:szCs w:val="24"/>
          <w:highlight w:val="white"/>
          <w:rtl w:val="0"/>
        </w:rPr>
        <w:t xml:space="preserve">10</w:t>
      </w:r>
      <w:r w:rsidDel="00000000" w:rsidR="00000000" w:rsidRPr="00000000">
        <w:rPr>
          <w:color w:val="212121"/>
          <w:sz w:val="24"/>
          <w:szCs w:val="24"/>
          <w:highlight w:val="white"/>
          <w:rtl w:val="0"/>
        </w:rPr>
        <w:t xml:space="preserve">, e63518. </w:t>
      </w:r>
      <w:hyperlink r:id="rId7">
        <w:r w:rsidDel="00000000" w:rsidR="00000000" w:rsidRPr="00000000">
          <w:rPr>
            <w:color w:val="0563c1"/>
            <w:sz w:val="24"/>
            <w:szCs w:val="24"/>
            <w:highlight w:val="white"/>
            <w:u w:val="single"/>
            <w:rtl w:val="0"/>
          </w:rPr>
          <w:t xml:space="preserve">https://doi.org/10.7554/eLife.63518.</w:t>
        </w:r>
      </w:hyperlink>
      <w:r w:rsidDel="00000000" w:rsidR="00000000" w:rsidRPr="00000000">
        <w:rPr>
          <w:rtl w:val="0"/>
        </w:rPr>
      </w:r>
    </w:p>
    <w:p w:rsidR="00000000" w:rsidDel="00000000" w:rsidP="00000000" w:rsidRDefault="00000000" w:rsidRPr="00000000" w14:paraId="000000B4">
      <w:pPr>
        <w:widowControl w:val="1"/>
        <w:numPr>
          <w:ilvl w:val="0"/>
          <w:numId w:val="1"/>
        </w:numPr>
        <w:spacing w:after="0" w:before="100" w:line="271" w:lineRule="auto"/>
        <w:ind w:left="0" w:firstLine="0"/>
        <w:rPr>
          <w:sz w:val="24"/>
          <w:szCs w:val="24"/>
        </w:rPr>
      </w:pPr>
      <w:r w:rsidDel="00000000" w:rsidR="00000000" w:rsidRPr="00000000">
        <w:rPr>
          <w:color w:val="212121"/>
          <w:sz w:val="24"/>
          <w:szCs w:val="24"/>
          <w:highlight w:val="white"/>
          <w:rtl w:val="0"/>
        </w:rPr>
        <w:t xml:space="preserve">Bhattacharya, S., Mohanty, A., Achuthan, S., Kotnala, S., Jolly, M. K., Kulkarni, P., &amp; Salgia, R. (2021). Group Behavior and Emergence of Cancer Drug Resistance. </w:t>
      </w:r>
      <w:r w:rsidDel="00000000" w:rsidR="00000000" w:rsidRPr="00000000">
        <w:rPr>
          <w:i w:val="1"/>
          <w:color w:val="212121"/>
          <w:sz w:val="24"/>
          <w:szCs w:val="24"/>
          <w:highlight w:val="white"/>
          <w:rtl w:val="0"/>
        </w:rPr>
        <w:t xml:space="preserve">Trends in cancer</w:t>
      </w:r>
      <w:r w:rsidDel="00000000" w:rsidR="00000000" w:rsidRPr="00000000">
        <w:rPr>
          <w:color w:val="212121"/>
          <w:sz w:val="24"/>
          <w:szCs w:val="24"/>
          <w:highlight w:val="white"/>
          <w:rtl w:val="0"/>
        </w:rPr>
        <w:t xml:space="preserve">, </w:t>
      </w:r>
      <w:r w:rsidDel="00000000" w:rsidR="00000000" w:rsidRPr="00000000">
        <w:rPr>
          <w:i w:val="1"/>
          <w:color w:val="212121"/>
          <w:sz w:val="24"/>
          <w:szCs w:val="24"/>
          <w:highlight w:val="white"/>
          <w:rtl w:val="0"/>
        </w:rPr>
        <w:t xml:space="preserve">7</w:t>
      </w:r>
      <w:r w:rsidDel="00000000" w:rsidR="00000000" w:rsidRPr="00000000">
        <w:rPr>
          <w:color w:val="212121"/>
          <w:sz w:val="24"/>
          <w:szCs w:val="24"/>
          <w:highlight w:val="white"/>
          <w:rtl w:val="0"/>
        </w:rPr>
        <w:t xml:space="preserve">(4), 323–334. </w:t>
      </w:r>
      <w:hyperlink r:id="rId8">
        <w:r w:rsidDel="00000000" w:rsidR="00000000" w:rsidRPr="00000000">
          <w:rPr>
            <w:color w:val="0563c1"/>
            <w:sz w:val="24"/>
            <w:szCs w:val="24"/>
            <w:highlight w:val="white"/>
            <w:u w:val="single"/>
            <w:rtl w:val="0"/>
          </w:rPr>
          <w:t xml:space="preserve">https://doi.org/10.1016/j.trecan.2021.01.009.</w:t>
        </w:r>
      </w:hyperlink>
      <w:r w:rsidDel="00000000" w:rsidR="00000000" w:rsidRPr="00000000">
        <w:rPr>
          <w:rtl w:val="0"/>
        </w:rPr>
      </w:r>
    </w:p>
    <w:p w:rsidR="00000000" w:rsidDel="00000000" w:rsidP="00000000" w:rsidRDefault="00000000" w:rsidRPr="00000000" w14:paraId="000000B5">
      <w:pPr>
        <w:widowControl w:val="1"/>
        <w:numPr>
          <w:ilvl w:val="0"/>
          <w:numId w:val="1"/>
        </w:numPr>
        <w:spacing w:after="0" w:before="100" w:line="271" w:lineRule="auto"/>
        <w:ind w:left="0" w:firstLine="0"/>
        <w:rPr>
          <w:b w:val="1"/>
          <w:sz w:val="24"/>
          <w:szCs w:val="24"/>
        </w:rPr>
      </w:pPr>
      <w:r w:rsidDel="00000000" w:rsidR="00000000" w:rsidRPr="00000000">
        <w:rPr>
          <w:color w:val="212121"/>
          <w:sz w:val="24"/>
          <w:szCs w:val="24"/>
          <w:highlight w:val="white"/>
          <w:rtl w:val="0"/>
        </w:rPr>
        <w:t xml:space="preserve">Morris, L. G., Riaz, N., Desrichard, A., Şenbabaoğlu, Y., Hakimi, A. A., Makarov, V., Reis-Filho, J. S., &amp; Chan, T. A. (2016). Pan-cancer analysis of intratumor heterogeneity as a prognostic determinant of survival. </w:t>
      </w:r>
      <w:r w:rsidDel="00000000" w:rsidR="00000000" w:rsidRPr="00000000">
        <w:rPr>
          <w:i w:val="1"/>
          <w:color w:val="212121"/>
          <w:sz w:val="24"/>
          <w:szCs w:val="24"/>
          <w:highlight w:val="white"/>
          <w:rtl w:val="0"/>
        </w:rPr>
        <w:t xml:space="preserve">Oncotarget</w:t>
      </w:r>
      <w:r w:rsidDel="00000000" w:rsidR="00000000" w:rsidRPr="00000000">
        <w:rPr>
          <w:color w:val="212121"/>
          <w:sz w:val="24"/>
          <w:szCs w:val="24"/>
          <w:highlight w:val="white"/>
          <w:rtl w:val="0"/>
        </w:rPr>
        <w:t xml:space="preserve">, </w:t>
      </w:r>
      <w:r w:rsidDel="00000000" w:rsidR="00000000" w:rsidRPr="00000000">
        <w:rPr>
          <w:i w:val="1"/>
          <w:color w:val="212121"/>
          <w:sz w:val="24"/>
          <w:szCs w:val="24"/>
          <w:highlight w:val="white"/>
          <w:rtl w:val="0"/>
        </w:rPr>
        <w:t xml:space="preserve">7</w:t>
      </w:r>
      <w:r w:rsidDel="00000000" w:rsidR="00000000" w:rsidRPr="00000000">
        <w:rPr>
          <w:color w:val="212121"/>
          <w:sz w:val="24"/>
          <w:szCs w:val="24"/>
          <w:highlight w:val="white"/>
          <w:rtl w:val="0"/>
        </w:rPr>
        <w:t xml:space="preserve">(9), 10051–10063. </w:t>
      </w:r>
      <w:hyperlink r:id="rId9">
        <w:r w:rsidDel="00000000" w:rsidR="00000000" w:rsidRPr="00000000">
          <w:rPr>
            <w:color w:val="0563c1"/>
            <w:sz w:val="24"/>
            <w:szCs w:val="24"/>
            <w:highlight w:val="white"/>
            <w:u w:val="single"/>
            <w:rtl w:val="0"/>
          </w:rPr>
          <w:t xml:space="preserve">https://doi.org/10.18632/oncotarget.7067.</w:t>
        </w:r>
      </w:hyperlink>
      <w:r w:rsidDel="00000000" w:rsidR="00000000" w:rsidRPr="00000000">
        <w:rPr>
          <w:rtl w:val="0"/>
        </w:rPr>
      </w:r>
    </w:p>
    <w:p w:rsidR="00000000" w:rsidDel="00000000" w:rsidP="00000000" w:rsidRDefault="00000000" w:rsidRPr="00000000" w14:paraId="000000B6">
      <w:pPr>
        <w:widowControl w:val="1"/>
        <w:numPr>
          <w:ilvl w:val="0"/>
          <w:numId w:val="1"/>
        </w:numPr>
        <w:spacing w:after="0" w:before="100" w:line="271" w:lineRule="auto"/>
        <w:ind w:left="0" w:firstLine="0"/>
        <w:rPr>
          <w:b w:val="1"/>
          <w:sz w:val="24"/>
          <w:szCs w:val="24"/>
        </w:rPr>
      </w:pPr>
      <w:r w:rsidDel="00000000" w:rsidR="00000000" w:rsidRPr="00000000">
        <w:rPr>
          <w:color w:val="212121"/>
          <w:sz w:val="24"/>
          <w:szCs w:val="24"/>
          <w:highlight w:val="white"/>
          <w:rtl w:val="0"/>
        </w:rPr>
        <w:t xml:space="preserve">Stanta, G., &amp; Bonin, S. (2018). Overview on Clinical Relevance of Intra-Tumor Heterogeneity. </w:t>
      </w:r>
      <w:r w:rsidDel="00000000" w:rsidR="00000000" w:rsidRPr="00000000">
        <w:rPr>
          <w:i w:val="1"/>
          <w:color w:val="212121"/>
          <w:sz w:val="24"/>
          <w:szCs w:val="24"/>
          <w:highlight w:val="white"/>
          <w:rtl w:val="0"/>
        </w:rPr>
        <w:t xml:space="preserve">Frontiers in medicine</w:t>
      </w:r>
      <w:r w:rsidDel="00000000" w:rsidR="00000000" w:rsidRPr="00000000">
        <w:rPr>
          <w:color w:val="212121"/>
          <w:sz w:val="24"/>
          <w:szCs w:val="24"/>
          <w:highlight w:val="white"/>
          <w:rtl w:val="0"/>
        </w:rPr>
        <w:t xml:space="preserve">, </w:t>
      </w:r>
      <w:r w:rsidDel="00000000" w:rsidR="00000000" w:rsidRPr="00000000">
        <w:rPr>
          <w:i w:val="1"/>
          <w:color w:val="212121"/>
          <w:sz w:val="24"/>
          <w:szCs w:val="24"/>
          <w:highlight w:val="white"/>
          <w:rtl w:val="0"/>
        </w:rPr>
        <w:t xml:space="preserve">5</w:t>
      </w:r>
      <w:r w:rsidDel="00000000" w:rsidR="00000000" w:rsidRPr="00000000">
        <w:rPr>
          <w:color w:val="212121"/>
          <w:sz w:val="24"/>
          <w:szCs w:val="24"/>
          <w:highlight w:val="white"/>
          <w:rtl w:val="0"/>
        </w:rPr>
        <w:t xml:space="preserve">, 85. </w:t>
      </w:r>
      <w:hyperlink r:id="rId10">
        <w:r w:rsidDel="00000000" w:rsidR="00000000" w:rsidRPr="00000000">
          <w:rPr>
            <w:color w:val="0563c1"/>
            <w:sz w:val="24"/>
            <w:szCs w:val="24"/>
            <w:highlight w:val="white"/>
            <w:u w:val="single"/>
            <w:rtl w:val="0"/>
          </w:rPr>
          <w:t xml:space="preserve">https://doi.org/10.3389/fmed.2018.00085.</w:t>
        </w:r>
      </w:hyperlink>
      <w:r w:rsidDel="00000000" w:rsidR="00000000" w:rsidRPr="00000000">
        <w:rPr>
          <w:rtl w:val="0"/>
        </w:rPr>
      </w:r>
    </w:p>
    <w:p w:rsidR="00000000" w:rsidDel="00000000" w:rsidP="00000000" w:rsidRDefault="00000000" w:rsidRPr="00000000" w14:paraId="000000B7">
      <w:pPr>
        <w:widowControl w:val="1"/>
        <w:numPr>
          <w:ilvl w:val="0"/>
          <w:numId w:val="1"/>
        </w:numPr>
        <w:spacing w:after="0" w:before="100" w:line="271" w:lineRule="auto"/>
        <w:ind w:left="0" w:firstLine="0"/>
        <w:rPr>
          <w:b w:val="1"/>
          <w:sz w:val="24"/>
          <w:szCs w:val="24"/>
        </w:rPr>
      </w:pPr>
      <w:r w:rsidDel="00000000" w:rsidR="00000000" w:rsidRPr="00000000">
        <w:rPr>
          <w:color w:val="222222"/>
          <w:sz w:val="24"/>
          <w:szCs w:val="24"/>
          <w:highlight w:val="white"/>
          <w:rtl w:val="0"/>
        </w:rPr>
        <w:t xml:space="preserve">Jadhav, K. B., &amp; Gupta, N. (2013). Clinicopathological prognostic implicators of oral squamous cell carcinoma: need to understand and revise. </w:t>
      </w:r>
      <w:r w:rsidDel="00000000" w:rsidR="00000000" w:rsidRPr="00000000">
        <w:rPr>
          <w:i w:val="1"/>
          <w:color w:val="222222"/>
          <w:sz w:val="24"/>
          <w:szCs w:val="24"/>
          <w:highlight w:val="white"/>
          <w:rtl w:val="0"/>
        </w:rPr>
        <w:t xml:space="preserve">North American journal of medical sciences</w:t>
      </w:r>
      <w:r w:rsidDel="00000000" w:rsidR="00000000" w:rsidRPr="00000000">
        <w:rPr>
          <w:color w:val="222222"/>
          <w:sz w:val="24"/>
          <w:szCs w:val="24"/>
          <w:highlight w:val="white"/>
          <w:rtl w:val="0"/>
        </w:rPr>
        <w:t xml:space="preserve">, </w:t>
      </w:r>
      <w:r w:rsidDel="00000000" w:rsidR="00000000" w:rsidRPr="00000000">
        <w:rPr>
          <w:i w:val="1"/>
          <w:color w:val="222222"/>
          <w:sz w:val="24"/>
          <w:szCs w:val="24"/>
          <w:highlight w:val="white"/>
          <w:rtl w:val="0"/>
        </w:rPr>
        <w:t xml:space="preserve">5</w:t>
      </w:r>
      <w:r w:rsidDel="00000000" w:rsidR="00000000" w:rsidRPr="00000000">
        <w:rPr>
          <w:color w:val="222222"/>
          <w:sz w:val="24"/>
          <w:szCs w:val="24"/>
          <w:highlight w:val="white"/>
          <w:rtl w:val="0"/>
        </w:rPr>
        <w:t xml:space="preserve">(12), 671.</w:t>
      </w:r>
      <w:r w:rsidDel="00000000" w:rsidR="00000000" w:rsidRPr="00000000">
        <w:rPr>
          <w:rtl w:val="0"/>
        </w:rPr>
      </w:r>
    </w:p>
    <w:p w:rsidR="00000000" w:rsidDel="00000000" w:rsidP="00000000" w:rsidRDefault="00000000" w:rsidRPr="00000000" w14:paraId="000000B8">
      <w:pPr>
        <w:widowControl w:val="1"/>
        <w:numPr>
          <w:ilvl w:val="0"/>
          <w:numId w:val="1"/>
        </w:numPr>
        <w:spacing w:after="0" w:before="100" w:line="271" w:lineRule="auto"/>
        <w:ind w:left="0" w:firstLine="0"/>
        <w:rPr>
          <w:b w:val="1"/>
          <w:sz w:val="24"/>
          <w:szCs w:val="24"/>
        </w:rPr>
      </w:pPr>
      <w:r w:rsidDel="00000000" w:rsidR="00000000" w:rsidRPr="00000000">
        <w:rPr>
          <w:color w:val="222222"/>
          <w:sz w:val="24"/>
          <w:szCs w:val="24"/>
          <w:highlight w:val="white"/>
          <w:rtl w:val="0"/>
        </w:rPr>
        <w:t xml:space="preserve">Dhanda, J., Triantafyllou, A., Liloglou, T., Kalirai, H., Lloyd, B., Hanlon, R., ... &amp; Risk, J. M. (2014). SERPINE1 and SMA expression at the invasive front predict extracapsular spread and survival in oral squamous cell carcinoma. </w:t>
      </w:r>
      <w:r w:rsidDel="00000000" w:rsidR="00000000" w:rsidRPr="00000000">
        <w:rPr>
          <w:i w:val="1"/>
          <w:color w:val="222222"/>
          <w:sz w:val="24"/>
          <w:szCs w:val="24"/>
          <w:highlight w:val="white"/>
          <w:rtl w:val="0"/>
        </w:rPr>
        <w:t xml:space="preserve">British journal of cancer</w:t>
      </w:r>
      <w:r w:rsidDel="00000000" w:rsidR="00000000" w:rsidRPr="00000000">
        <w:rPr>
          <w:color w:val="222222"/>
          <w:sz w:val="24"/>
          <w:szCs w:val="24"/>
          <w:highlight w:val="white"/>
          <w:rtl w:val="0"/>
        </w:rPr>
        <w:t xml:space="preserve">, </w:t>
      </w:r>
      <w:r w:rsidDel="00000000" w:rsidR="00000000" w:rsidRPr="00000000">
        <w:rPr>
          <w:i w:val="1"/>
          <w:color w:val="222222"/>
          <w:sz w:val="24"/>
          <w:szCs w:val="24"/>
          <w:highlight w:val="white"/>
          <w:rtl w:val="0"/>
        </w:rPr>
        <w:t xml:space="preserve">111</w:t>
      </w:r>
      <w:r w:rsidDel="00000000" w:rsidR="00000000" w:rsidRPr="00000000">
        <w:rPr>
          <w:color w:val="222222"/>
          <w:sz w:val="24"/>
          <w:szCs w:val="24"/>
          <w:highlight w:val="white"/>
          <w:rtl w:val="0"/>
        </w:rPr>
        <w:t xml:space="preserve">(11), 2114-2121.</w:t>
      </w:r>
      <w:r w:rsidDel="00000000" w:rsidR="00000000" w:rsidRPr="00000000">
        <w:rPr>
          <w:rtl w:val="0"/>
        </w:rPr>
      </w:r>
    </w:p>
    <w:p w:rsidR="00000000" w:rsidDel="00000000" w:rsidP="00000000" w:rsidRDefault="00000000" w:rsidRPr="00000000" w14:paraId="000000B9">
      <w:pPr>
        <w:widowControl w:val="1"/>
        <w:numPr>
          <w:ilvl w:val="0"/>
          <w:numId w:val="1"/>
        </w:numPr>
        <w:spacing w:after="0" w:before="100" w:line="271" w:lineRule="auto"/>
        <w:ind w:left="0" w:firstLine="0"/>
        <w:rPr>
          <w:b w:val="1"/>
          <w:sz w:val="24"/>
          <w:szCs w:val="24"/>
        </w:rPr>
      </w:pPr>
      <w:r w:rsidDel="00000000" w:rsidR="00000000" w:rsidRPr="00000000">
        <w:rPr>
          <w:color w:val="222222"/>
          <w:sz w:val="24"/>
          <w:szCs w:val="24"/>
          <w:highlight w:val="white"/>
          <w:rtl w:val="0"/>
        </w:rPr>
        <w:t xml:space="preserve">Kellermann, M. G., Sobral, L. M., Silva, S. D., Zecchin, K. G., Graner, E., Lopes, M. A., ... &amp; Coletta, R. D. (2007). Myofibroblasts in the stroma of oral squamous cell carcinoma are associated with poor prognosis. </w:t>
      </w:r>
      <w:r w:rsidDel="00000000" w:rsidR="00000000" w:rsidRPr="00000000">
        <w:rPr>
          <w:i w:val="1"/>
          <w:color w:val="222222"/>
          <w:sz w:val="24"/>
          <w:szCs w:val="24"/>
          <w:highlight w:val="white"/>
          <w:rtl w:val="0"/>
        </w:rPr>
        <w:t xml:space="preserve">Histopathology</w:t>
      </w:r>
      <w:r w:rsidDel="00000000" w:rsidR="00000000" w:rsidRPr="00000000">
        <w:rPr>
          <w:color w:val="222222"/>
          <w:sz w:val="24"/>
          <w:szCs w:val="24"/>
          <w:highlight w:val="white"/>
          <w:rtl w:val="0"/>
        </w:rPr>
        <w:t xml:space="preserve">, </w:t>
      </w:r>
      <w:r w:rsidDel="00000000" w:rsidR="00000000" w:rsidRPr="00000000">
        <w:rPr>
          <w:i w:val="1"/>
          <w:color w:val="222222"/>
          <w:sz w:val="24"/>
          <w:szCs w:val="24"/>
          <w:highlight w:val="white"/>
          <w:rtl w:val="0"/>
        </w:rPr>
        <w:t xml:space="preserve">51</w:t>
      </w:r>
      <w:r w:rsidDel="00000000" w:rsidR="00000000" w:rsidRPr="00000000">
        <w:rPr>
          <w:color w:val="222222"/>
          <w:sz w:val="24"/>
          <w:szCs w:val="24"/>
          <w:highlight w:val="white"/>
          <w:rtl w:val="0"/>
        </w:rPr>
        <w:t xml:space="preserve">(6), 849-853.</w:t>
      </w:r>
      <w:r w:rsidDel="00000000" w:rsidR="00000000" w:rsidRPr="00000000">
        <w:rPr>
          <w:rtl w:val="0"/>
        </w:rPr>
      </w:r>
    </w:p>
    <w:p w:rsidR="00000000" w:rsidDel="00000000" w:rsidP="00000000" w:rsidRDefault="00000000" w:rsidRPr="00000000" w14:paraId="000000BA">
      <w:pPr>
        <w:widowControl w:val="1"/>
        <w:numPr>
          <w:ilvl w:val="0"/>
          <w:numId w:val="1"/>
        </w:numPr>
        <w:spacing w:after="0" w:before="100" w:line="271" w:lineRule="auto"/>
        <w:ind w:left="0" w:firstLine="0"/>
        <w:rPr>
          <w:b w:val="1"/>
          <w:sz w:val="24"/>
          <w:szCs w:val="24"/>
        </w:rPr>
      </w:pPr>
      <w:r w:rsidDel="00000000" w:rsidR="00000000" w:rsidRPr="00000000">
        <w:rPr>
          <w:color w:val="222222"/>
          <w:sz w:val="24"/>
          <w:szCs w:val="24"/>
          <w:highlight w:val="white"/>
          <w:rtl w:val="0"/>
        </w:rPr>
        <w:t xml:space="preserve">Vered, M., Dobriyan, A., Dayan, D., Yahalom, R., Talmi, Y. P., Bedrin, L., ... &amp; Taicher, S. (2010). Tumor‐host histopathologic variables, stromal myofibroblasts and risk score, are significantly associated with recurrent disease in tongue cancer. </w:t>
      </w:r>
      <w:r w:rsidDel="00000000" w:rsidR="00000000" w:rsidRPr="00000000">
        <w:rPr>
          <w:i w:val="1"/>
          <w:color w:val="222222"/>
          <w:sz w:val="24"/>
          <w:szCs w:val="24"/>
          <w:highlight w:val="white"/>
          <w:rtl w:val="0"/>
        </w:rPr>
        <w:t xml:space="preserve">Cancer science</w:t>
      </w:r>
      <w:r w:rsidDel="00000000" w:rsidR="00000000" w:rsidRPr="00000000">
        <w:rPr>
          <w:color w:val="222222"/>
          <w:sz w:val="24"/>
          <w:szCs w:val="24"/>
          <w:highlight w:val="white"/>
          <w:rtl w:val="0"/>
        </w:rPr>
        <w:t xml:space="preserve">, </w:t>
      </w:r>
      <w:r w:rsidDel="00000000" w:rsidR="00000000" w:rsidRPr="00000000">
        <w:rPr>
          <w:i w:val="1"/>
          <w:color w:val="222222"/>
          <w:sz w:val="24"/>
          <w:szCs w:val="24"/>
          <w:highlight w:val="white"/>
          <w:rtl w:val="0"/>
        </w:rPr>
        <w:t xml:space="preserve">101</w:t>
      </w:r>
      <w:r w:rsidDel="00000000" w:rsidR="00000000" w:rsidRPr="00000000">
        <w:rPr>
          <w:color w:val="222222"/>
          <w:sz w:val="24"/>
          <w:szCs w:val="24"/>
          <w:highlight w:val="white"/>
          <w:rtl w:val="0"/>
        </w:rPr>
        <w:t xml:space="preserve">(1), 274-280.</w:t>
      </w:r>
      <w:r w:rsidDel="00000000" w:rsidR="00000000" w:rsidRPr="00000000">
        <w:rPr>
          <w:rtl w:val="0"/>
        </w:rPr>
      </w:r>
    </w:p>
    <w:p w:rsidR="00000000" w:rsidDel="00000000" w:rsidP="00000000" w:rsidRDefault="00000000" w:rsidRPr="00000000" w14:paraId="000000BB">
      <w:pPr>
        <w:widowControl w:val="1"/>
        <w:numPr>
          <w:ilvl w:val="0"/>
          <w:numId w:val="1"/>
        </w:numPr>
        <w:spacing w:after="0" w:before="100" w:line="271" w:lineRule="auto"/>
        <w:ind w:left="0" w:firstLine="0"/>
        <w:rPr>
          <w:b w:val="1"/>
          <w:sz w:val="24"/>
          <w:szCs w:val="24"/>
        </w:rPr>
      </w:pPr>
      <w:r w:rsidDel="00000000" w:rsidR="00000000" w:rsidRPr="00000000">
        <w:rPr>
          <w:color w:val="212121"/>
          <w:sz w:val="24"/>
          <w:szCs w:val="24"/>
          <w:highlight w:val="white"/>
          <w:rtl w:val="0"/>
        </w:rPr>
        <w:t xml:space="preserve">Knops, A. M., South, A., Rodeck, U., Martinez-Outschoorn, U., Harshyne, L. A., Johnson, J., Luginbuhl, A. J., &amp; Curry, J. M. (2020). Cancer-Associated Fibroblast Density, Prognostic Characteristics, and Recurrence in Head and Neck Squamous Cell Carcinoma: A Meta-Analysis. </w:t>
      </w:r>
      <w:r w:rsidDel="00000000" w:rsidR="00000000" w:rsidRPr="00000000">
        <w:rPr>
          <w:i w:val="1"/>
          <w:color w:val="212121"/>
          <w:sz w:val="24"/>
          <w:szCs w:val="24"/>
          <w:highlight w:val="white"/>
          <w:rtl w:val="0"/>
        </w:rPr>
        <w:t xml:space="preserve">Frontiers in oncology</w:t>
      </w:r>
      <w:r w:rsidDel="00000000" w:rsidR="00000000" w:rsidRPr="00000000">
        <w:rPr>
          <w:color w:val="212121"/>
          <w:sz w:val="24"/>
          <w:szCs w:val="24"/>
          <w:highlight w:val="white"/>
          <w:rtl w:val="0"/>
        </w:rPr>
        <w:t xml:space="preserve">, </w:t>
      </w:r>
      <w:r w:rsidDel="00000000" w:rsidR="00000000" w:rsidRPr="00000000">
        <w:rPr>
          <w:i w:val="1"/>
          <w:color w:val="212121"/>
          <w:sz w:val="24"/>
          <w:szCs w:val="24"/>
          <w:highlight w:val="white"/>
          <w:rtl w:val="0"/>
        </w:rPr>
        <w:t xml:space="preserve">10</w:t>
      </w:r>
      <w:r w:rsidDel="00000000" w:rsidR="00000000" w:rsidRPr="00000000">
        <w:rPr>
          <w:color w:val="212121"/>
          <w:sz w:val="24"/>
          <w:szCs w:val="24"/>
          <w:highlight w:val="white"/>
          <w:rtl w:val="0"/>
        </w:rPr>
        <w:t xml:space="preserve">, 565306. </w:t>
      </w:r>
      <w:hyperlink r:id="rId11">
        <w:r w:rsidDel="00000000" w:rsidR="00000000" w:rsidRPr="00000000">
          <w:rPr>
            <w:color w:val="0563c1"/>
            <w:sz w:val="24"/>
            <w:szCs w:val="24"/>
            <w:highlight w:val="white"/>
            <w:u w:val="single"/>
            <w:rtl w:val="0"/>
          </w:rPr>
          <w:t xml:space="preserve">https://doi.org/10.3389/fonc.2020.565306.</w:t>
        </w:r>
      </w:hyperlink>
      <w:r w:rsidDel="00000000" w:rsidR="00000000" w:rsidRPr="00000000">
        <w:rPr>
          <w:rtl w:val="0"/>
        </w:rPr>
      </w:r>
    </w:p>
    <w:p w:rsidR="00000000" w:rsidDel="00000000" w:rsidP="00000000" w:rsidRDefault="00000000" w:rsidRPr="00000000" w14:paraId="000000BC">
      <w:pPr>
        <w:widowControl w:val="1"/>
        <w:numPr>
          <w:ilvl w:val="0"/>
          <w:numId w:val="1"/>
        </w:numPr>
        <w:spacing w:after="0" w:before="100" w:line="271" w:lineRule="auto"/>
        <w:ind w:left="0" w:firstLine="0"/>
        <w:rPr>
          <w:b w:val="1"/>
          <w:sz w:val="24"/>
          <w:szCs w:val="24"/>
        </w:rPr>
      </w:pPr>
      <w:r w:rsidDel="00000000" w:rsidR="00000000" w:rsidRPr="00000000">
        <w:rPr>
          <w:color w:val="212121"/>
          <w:sz w:val="24"/>
          <w:szCs w:val="24"/>
          <w:highlight w:val="white"/>
          <w:rtl w:val="0"/>
        </w:rPr>
        <w:t xml:space="preserve">Patel, A. K., Vipparthi, K., Thatikonda, V., Arun, I., Bhattacharjee, S., Sharan, R., Arun, P., &amp; Singh, S. (2018). A subtype of cancer-associated fibroblasts with lower expression of alpha-smooth muscle actin suppresses stemness through BMP4 in oral carcinoma. </w:t>
      </w:r>
      <w:r w:rsidDel="00000000" w:rsidR="00000000" w:rsidRPr="00000000">
        <w:rPr>
          <w:i w:val="1"/>
          <w:color w:val="212121"/>
          <w:sz w:val="24"/>
          <w:szCs w:val="24"/>
          <w:highlight w:val="white"/>
          <w:rtl w:val="0"/>
        </w:rPr>
        <w:t xml:space="preserve">Oncogenesis</w:t>
      </w:r>
      <w:r w:rsidDel="00000000" w:rsidR="00000000" w:rsidRPr="00000000">
        <w:rPr>
          <w:color w:val="212121"/>
          <w:sz w:val="24"/>
          <w:szCs w:val="24"/>
          <w:highlight w:val="white"/>
          <w:rtl w:val="0"/>
        </w:rPr>
        <w:t xml:space="preserve">, </w:t>
      </w:r>
      <w:r w:rsidDel="00000000" w:rsidR="00000000" w:rsidRPr="00000000">
        <w:rPr>
          <w:i w:val="1"/>
          <w:color w:val="212121"/>
          <w:sz w:val="24"/>
          <w:szCs w:val="24"/>
          <w:highlight w:val="white"/>
          <w:rtl w:val="0"/>
        </w:rPr>
        <w:t xml:space="preserve">7</w:t>
      </w:r>
      <w:r w:rsidDel="00000000" w:rsidR="00000000" w:rsidRPr="00000000">
        <w:rPr>
          <w:color w:val="212121"/>
          <w:sz w:val="24"/>
          <w:szCs w:val="24"/>
          <w:highlight w:val="white"/>
          <w:rtl w:val="0"/>
        </w:rPr>
        <w:t xml:space="preserve">(10), 78. </w:t>
      </w:r>
      <w:hyperlink r:id="rId12">
        <w:r w:rsidDel="00000000" w:rsidR="00000000" w:rsidRPr="00000000">
          <w:rPr>
            <w:color w:val="0563c1"/>
            <w:sz w:val="24"/>
            <w:szCs w:val="24"/>
            <w:highlight w:val="white"/>
            <w:u w:val="single"/>
            <w:rtl w:val="0"/>
          </w:rPr>
          <w:t xml:space="preserve">https://doi.org/10.1038/s41389-018-0087-x.</w:t>
        </w:r>
      </w:hyperlink>
      <w:r w:rsidDel="00000000" w:rsidR="00000000" w:rsidRPr="00000000">
        <w:rPr>
          <w:rtl w:val="0"/>
        </w:rPr>
      </w:r>
    </w:p>
    <w:p w:rsidR="00000000" w:rsidDel="00000000" w:rsidP="00000000" w:rsidRDefault="00000000" w:rsidRPr="00000000" w14:paraId="000000BD">
      <w:pPr>
        <w:widowControl w:val="1"/>
        <w:numPr>
          <w:ilvl w:val="0"/>
          <w:numId w:val="1"/>
        </w:numPr>
        <w:spacing w:after="0" w:before="100" w:line="271" w:lineRule="auto"/>
        <w:ind w:left="0" w:firstLine="0"/>
        <w:rPr>
          <w:b w:val="1"/>
          <w:sz w:val="24"/>
          <w:szCs w:val="24"/>
        </w:rPr>
      </w:pPr>
      <w:r w:rsidDel="00000000" w:rsidR="00000000" w:rsidRPr="00000000">
        <w:rPr>
          <w:color w:val="212121"/>
          <w:sz w:val="24"/>
          <w:szCs w:val="24"/>
          <w:highlight w:val="white"/>
          <w:rtl w:val="0"/>
        </w:rPr>
        <w:t xml:space="preserve">Seferbekova, Z., Lomakin, A., Yates, L. R., &amp; Gerstung, M. (2023). Spatial biology of cancer evolution. </w:t>
      </w:r>
      <w:r w:rsidDel="00000000" w:rsidR="00000000" w:rsidRPr="00000000">
        <w:rPr>
          <w:i w:val="1"/>
          <w:color w:val="212121"/>
          <w:sz w:val="24"/>
          <w:szCs w:val="24"/>
          <w:highlight w:val="white"/>
          <w:rtl w:val="0"/>
        </w:rPr>
        <w:t xml:space="preserve">Nature reviews. Genetics</w:t>
      </w:r>
      <w:r w:rsidDel="00000000" w:rsidR="00000000" w:rsidRPr="00000000">
        <w:rPr>
          <w:color w:val="212121"/>
          <w:sz w:val="24"/>
          <w:szCs w:val="24"/>
          <w:highlight w:val="white"/>
          <w:rtl w:val="0"/>
        </w:rPr>
        <w:t xml:space="preserve">, </w:t>
      </w:r>
      <w:r w:rsidDel="00000000" w:rsidR="00000000" w:rsidRPr="00000000">
        <w:rPr>
          <w:i w:val="1"/>
          <w:color w:val="212121"/>
          <w:sz w:val="24"/>
          <w:szCs w:val="24"/>
          <w:highlight w:val="white"/>
          <w:rtl w:val="0"/>
        </w:rPr>
        <w:t xml:space="preserve">24</w:t>
      </w:r>
      <w:r w:rsidDel="00000000" w:rsidR="00000000" w:rsidRPr="00000000">
        <w:rPr>
          <w:color w:val="212121"/>
          <w:sz w:val="24"/>
          <w:szCs w:val="24"/>
          <w:highlight w:val="white"/>
          <w:rtl w:val="0"/>
        </w:rPr>
        <w:t xml:space="preserve">(5), 295–313. </w:t>
      </w:r>
      <w:hyperlink r:id="rId13">
        <w:r w:rsidDel="00000000" w:rsidR="00000000" w:rsidRPr="00000000">
          <w:rPr>
            <w:color w:val="0563c1"/>
            <w:sz w:val="24"/>
            <w:szCs w:val="24"/>
            <w:highlight w:val="white"/>
            <w:u w:val="single"/>
            <w:rtl w:val="0"/>
          </w:rPr>
          <w:t xml:space="preserve">https://doi.org/10.1038/s41576-022-00553-x.</w:t>
        </w:r>
      </w:hyperlink>
      <w:r w:rsidDel="00000000" w:rsidR="00000000" w:rsidRPr="00000000">
        <w:rPr>
          <w:rtl w:val="0"/>
        </w:rPr>
      </w:r>
    </w:p>
    <w:p w:rsidR="00000000" w:rsidDel="00000000" w:rsidP="00000000" w:rsidRDefault="00000000" w:rsidRPr="00000000" w14:paraId="000000BE">
      <w:pPr>
        <w:widowControl w:val="1"/>
        <w:numPr>
          <w:ilvl w:val="0"/>
          <w:numId w:val="1"/>
        </w:numPr>
        <w:spacing w:after="0" w:before="100" w:line="271" w:lineRule="auto"/>
        <w:ind w:left="0" w:firstLine="0"/>
        <w:rPr>
          <w:b w:val="1"/>
          <w:sz w:val="24"/>
          <w:szCs w:val="24"/>
        </w:rPr>
      </w:pPr>
      <w:r w:rsidDel="00000000" w:rsidR="00000000" w:rsidRPr="00000000">
        <w:rPr>
          <w:color w:val="212121"/>
          <w:sz w:val="24"/>
          <w:szCs w:val="24"/>
          <w:highlight w:val="white"/>
          <w:rtl w:val="0"/>
        </w:rPr>
        <w:t xml:space="preserve">Yuan, A. E., &amp; Shou, W. (2022). Data-driven causal analysis of observational biological time series. </w:t>
      </w:r>
      <w:r w:rsidDel="00000000" w:rsidR="00000000" w:rsidRPr="00000000">
        <w:rPr>
          <w:i w:val="1"/>
          <w:color w:val="212121"/>
          <w:sz w:val="24"/>
          <w:szCs w:val="24"/>
          <w:highlight w:val="white"/>
          <w:rtl w:val="0"/>
        </w:rPr>
        <w:t xml:space="preserve">eLife</w:t>
      </w:r>
      <w:r w:rsidDel="00000000" w:rsidR="00000000" w:rsidRPr="00000000">
        <w:rPr>
          <w:color w:val="212121"/>
          <w:sz w:val="24"/>
          <w:szCs w:val="24"/>
          <w:highlight w:val="white"/>
          <w:rtl w:val="0"/>
        </w:rPr>
        <w:t xml:space="preserve">, </w:t>
      </w:r>
      <w:r w:rsidDel="00000000" w:rsidR="00000000" w:rsidRPr="00000000">
        <w:rPr>
          <w:i w:val="1"/>
          <w:color w:val="212121"/>
          <w:sz w:val="24"/>
          <w:szCs w:val="24"/>
          <w:highlight w:val="white"/>
          <w:rtl w:val="0"/>
        </w:rPr>
        <w:t xml:space="preserve">11</w:t>
      </w:r>
      <w:r w:rsidDel="00000000" w:rsidR="00000000" w:rsidRPr="00000000">
        <w:rPr>
          <w:color w:val="212121"/>
          <w:sz w:val="24"/>
          <w:szCs w:val="24"/>
          <w:highlight w:val="white"/>
          <w:rtl w:val="0"/>
        </w:rPr>
        <w:t xml:space="preserve">, e72518. </w:t>
      </w:r>
      <w:hyperlink r:id="rId14">
        <w:r w:rsidDel="00000000" w:rsidR="00000000" w:rsidRPr="00000000">
          <w:rPr>
            <w:color w:val="0563c1"/>
            <w:sz w:val="24"/>
            <w:szCs w:val="24"/>
            <w:highlight w:val="white"/>
            <w:u w:val="single"/>
            <w:rtl w:val="0"/>
          </w:rPr>
          <w:t xml:space="preserve">https://doi.org/10.7554/eLife.72518.</w:t>
        </w:r>
      </w:hyperlink>
      <w:r w:rsidDel="00000000" w:rsidR="00000000" w:rsidRPr="00000000">
        <w:rPr>
          <w:rtl w:val="0"/>
        </w:rPr>
      </w:r>
    </w:p>
    <w:p w:rsidR="00000000" w:rsidDel="00000000" w:rsidP="00000000" w:rsidRDefault="00000000" w:rsidRPr="00000000" w14:paraId="000000BF">
      <w:pPr>
        <w:widowControl w:val="1"/>
        <w:numPr>
          <w:ilvl w:val="0"/>
          <w:numId w:val="1"/>
        </w:numPr>
        <w:spacing w:after="0" w:before="100" w:line="271" w:lineRule="auto"/>
        <w:ind w:left="0" w:firstLine="0"/>
        <w:rPr>
          <w:b w:val="1"/>
          <w:sz w:val="24"/>
          <w:szCs w:val="24"/>
        </w:rPr>
      </w:pPr>
      <w:r w:rsidDel="00000000" w:rsidR="00000000" w:rsidRPr="00000000">
        <w:rPr>
          <w:color w:val="222222"/>
          <w:sz w:val="24"/>
          <w:szCs w:val="24"/>
          <w:highlight w:val="white"/>
          <w:rtl w:val="0"/>
        </w:rPr>
        <w:t xml:space="preserve">Schürch, C. M., Bhate, S. S., Barlow, G. L., Phillips, D. J., Noti, L., Zlobec, I., ... &amp; Nolan, G. P. (2020). Coordinated cellular neighborhoods orchestrate antitumoral immunity at the colorectal cancer invasive front. </w:t>
      </w:r>
      <w:r w:rsidDel="00000000" w:rsidR="00000000" w:rsidRPr="00000000">
        <w:rPr>
          <w:i w:val="1"/>
          <w:color w:val="222222"/>
          <w:sz w:val="24"/>
          <w:szCs w:val="24"/>
          <w:highlight w:val="white"/>
          <w:rtl w:val="0"/>
        </w:rPr>
        <w:t xml:space="preserve">Cell</w:t>
      </w:r>
      <w:r w:rsidDel="00000000" w:rsidR="00000000" w:rsidRPr="00000000">
        <w:rPr>
          <w:color w:val="222222"/>
          <w:sz w:val="24"/>
          <w:szCs w:val="24"/>
          <w:highlight w:val="white"/>
          <w:rtl w:val="0"/>
        </w:rPr>
        <w:t xml:space="preserve">, </w:t>
      </w:r>
      <w:r w:rsidDel="00000000" w:rsidR="00000000" w:rsidRPr="00000000">
        <w:rPr>
          <w:i w:val="1"/>
          <w:color w:val="222222"/>
          <w:sz w:val="24"/>
          <w:szCs w:val="24"/>
          <w:highlight w:val="white"/>
          <w:rtl w:val="0"/>
        </w:rPr>
        <w:t xml:space="preserve">182</w:t>
      </w:r>
      <w:r w:rsidDel="00000000" w:rsidR="00000000" w:rsidRPr="00000000">
        <w:rPr>
          <w:color w:val="222222"/>
          <w:sz w:val="24"/>
          <w:szCs w:val="24"/>
          <w:highlight w:val="white"/>
          <w:rtl w:val="0"/>
        </w:rPr>
        <w:t xml:space="preserve">(5), 1341-1359.</w:t>
      </w:r>
      <w:r w:rsidDel="00000000" w:rsidR="00000000" w:rsidRPr="00000000">
        <w:rPr>
          <w:rtl w:val="0"/>
        </w:rPr>
      </w:r>
    </w:p>
    <w:p w:rsidR="00000000" w:rsidDel="00000000" w:rsidP="00000000" w:rsidRDefault="00000000" w:rsidRPr="00000000" w14:paraId="000000C0">
      <w:pPr>
        <w:numPr>
          <w:ilvl w:val="0"/>
          <w:numId w:val="1"/>
        </w:numPr>
        <w:spacing w:line="271" w:lineRule="auto"/>
        <w:ind w:left="0" w:firstLine="0"/>
        <w:rPr>
          <w:sz w:val="24"/>
          <w:szCs w:val="24"/>
        </w:rPr>
      </w:pPr>
      <w:r w:rsidDel="00000000" w:rsidR="00000000" w:rsidRPr="00000000">
        <w:rPr>
          <w:color w:val="222222"/>
          <w:sz w:val="24"/>
          <w:szCs w:val="24"/>
          <w:highlight w:val="white"/>
          <w:rtl w:val="0"/>
        </w:rPr>
        <w:t xml:space="preserve">Swat, M. H., Thomas, G. L., Belmonte, J. M., Shirinifard, A., Hmeljak, D., &amp; Glazier, J. A. (2012). Multi-scale modeling of tissues using CompuCell3D. In </w:t>
      </w:r>
      <w:r w:rsidDel="00000000" w:rsidR="00000000" w:rsidRPr="00000000">
        <w:rPr>
          <w:i w:val="1"/>
          <w:color w:val="222222"/>
          <w:sz w:val="24"/>
          <w:szCs w:val="24"/>
          <w:highlight w:val="white"/>
          <w:rtl w:val="0"/>
        </w:rPr>
        <w:t xml:space="preserve">Methods in cell biology</w:t>
      </w:r>
      <w:r w:rsidDel="00000000" w:rsidR="00000000" w:rsidRPr="00000000">
        <w:rPr>
          <w:color w:val="222222"/>
          <w:sz w:val="24"/>
          <w:szCs w:val="24"/>
          <w:highlight w:val="white"/>
          <w:rtl w:val="0"/>
        </w:rPr>
        <w:t xml:space="preserve"> (Vol. 110, pp. 325-366). Academic Press.</w:t>
      </w:r>
      <w:r w:rsidDel="00000000" w:rsidR="00000000" w:rsidRPr="00000000">
        <w:rPr>
          <w:rtl w:val="0"/>
        </w:rPr>
      </w:r>
    </w:p>
    <w:p w:rsidR="00000000" w:rsidDel="00000000" w:rsidP="00000000" w:rsidRDefault="00000000" w:rsidRPr="00000000" w14:paraId="000000C1">
      <w:pPr>
        <w:numPr>
          <w:ilvl w:val="0"/>
          <w:numId w:val="1"/>
        </w:numPr>
        <w:spacing w:line="271" w:lineRule="auto"/>
        <w:ind w:left="0" w:firstLine="0"/>
        <w:rPr>
          <w:sz w:val="24"/>
          <w:szCs w:val="24"/>
        </w:rPr>
      </w:pPr>
      <w:r w:rsidDel="00000000" w:rsidR="00000000" w:rsidRPr="00000000">
        <w:rPr>
          <w:color w:val="222222"/>
          <w:sz w:val="24"/>
          <w:szCs w:val="24"/>
          <w:highlight w:val="white"/>
          <w:rtl w:val="0"/>
        </w:rPr>
        <w:t xml:space="preserve">Monkman, J., Moradi, A., Yunis, J., Ivison, G., Mayer, A., Ladwa, R., ... &amp; Kulasinghe, A. (2024). Spatial insights into immunotherapy response in non-small cell lung cancer (NSCLC) by multiplexed tissue imaging. </w:t>
      </w:r>
      <w:r w:rsidDel="00000000" w:rsidR="00000000" w:rsidRPr="00000000">
        <w:rPr>
          <w:i w:val="1"/>
          <w:color w:val="222222"/>
          <w:sz w:val="24"/>
          <w:szCs w:val="24"/>
          <w:highlight w:val="white"/>
          <w:rtl w:val="0"/>
        </w:rPr>
        <w:t xml:space="preserve">Journal of Translational Medicine</w:t>
      </w:r>
      <w:r w:rsidDel="00000000" w:rsidR="00000000" w:rsidRPr="00000000">
        <w:rPr>
          <w:color w:val="222222"/>
          <w:sz w:val="24"/>
          <w:szCs w:val="24"/>
          <w:highlight w:val="white"/>
          <w:rtl w:val="0"/>
        </w:rPr>
        <w:t xml:space="preserve">, </w:t>
      </w:r>
      <w:r w:rsidDel="00000000" w:rsidR="00000000" w:rsidRPr="00000000">
        <w:rPr>
          <w:i w:val="1"/>
          <w:color w:val="222222"/>
          <w:sz w:val="24"/>
          <w:szCs w:val="24"/>
          <w:highlight w:val="white"/>
          <w:rtl w:val="0"/>
        </w:rPr>
        <w:t xml:space="preserve">22</w:t>
      </w:r>
      <w:r w:rsidDel="00000000" w:rsidR="00000000" w:rsidRPr="00000000">
        <w:rPr>
          <w:color w:val="222222"/>
          <w:sz w:val="24"/>
          <w:szCs w:val="24"/>
          <w:highlight w:val="white"/>
          <w:rtl w:val="0"/>
        </w:rPr>
        <w:t xml:space="preserve">(1), 239.</w:t>
      </w:r>
      <w:r w:rsidDel="00000000" w:rsidR="00000000" w:rsidRPr="00000000">
        <w:rPr>
          <w:rtl w:val="0"/>
        </w:rPr>
      </w:r>
    </w:p>
    <w:p w:rsidR="00000000" w:rsidDel="00000000" w:rsidP="00000000" w:rsidRDefault="00000000" w:rsidRPr="00000000" w14:paraId="000000C2">
      <w:pPr>
        <w:spacing w:after="0" w:lineRule="auto"/>
        <w:jc w:val="both"/>
        <w:rPr>
          <w:sz w:val="24"/>
          <w:szCs w:val="24"/>
        </w:rPr>
      </w:pPr>
      <w:bookmarkStart w:colFirst="0" w:colLast="0" w:name="_heading=h.1t3h5sf" w:id="1"/>
      <w:bookmarkEnd w:id="1"/>
      <w:r w:rsidDel="00000000" w:rsidR="00000000" w:rsidRPr="00000000">
        <w:rPr>
          <w:rtl w:val="0"/>
        </w:rPr>
      </w:r>
    </w:p>
    <w:sectPr>
      <w:footerReference r:id="rId15" w:type="default"/>
      <w:footerReference r:id="rId16"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3">
    <w:pPr>
      <w:tabs>
        <w:tab w:val="center" w:leader="none" w:pos="4680"/>
        <w:tab w:val="right" w:leader="none" w:pos="9360"/>
      </w:tabs>
      <w:spacing w:after="0" w:line="240" w:lineRule="auto"/>
      <w:rPr>
        <w:b w:val="1"/>
        <w:color w:val="000000"/>
      </w:rPr>
    </w:pPr>
    <w:r w:rsidDel="00000000" w:rsidR="00000000" w:rsidRPr="00000000">
      <w:rPr>
        <w:b w:val="1"/>
        <w:sz w:val="24"/>
        <w:szCs w:val="24"/>
        <w:rtl w:val="0"/>
      </w:rPr>
      <w:t xml:space="preserve">GBOC </w:t>
    </w:r>
    <w:r w:rsidDel="00000000" w:rsidR="00000000" w:rsidRPr="00000000">
      <w:rPr>
        <w:b w:val="1"/>
        <w:color w:val="000000"/>
        <w:rtl w:val="0"/>
      </w:rPr>
      <w:t xml:space="preserve">TMA study</w:t>
      <w:tab/>
      <w:t xml:space="preserve">    </w:t>
    </w:r>
    <w:r w:rsidDel="00000000" w:rsidR="00000000" w:rsidRPr="00000000">
      <w:rPr>
        <w:b w:val="1"/>
        <w:color w:val="000000"/>
      </w:rPr>
      <w:fldChar w:fldCharType="begin"/>
      <w:instrText xml:space="preserve">PAGE</w:instrText>
      <w:fldChar w:fldCharType="separate"/>
      <w:fldChar w:fldCharType="end"/>
    </w:r>
    <w:r w:rsidDel="00000000" w:rsidR="00000000" w:rsidRPr="00000000">
      <w:rPr>
        <w:b w:val="1"/>
        <w:color w:val="000000"/>
        <w:rtl w:val="0"/>
      </w:rPr>
      <w:tab/>
    </w:r>
    <w:r w:rsidDel="00000000" w:rsidR="00000000" w:rsidRPr="00000000">
      <w:rPr>
        <w:b w:val="1"/>
        <w:i w:val="1"/>
        <w:color w:val="000000"/>
        <w:rtl w:val="0"/>
      </w:rPr>
      <w:t xml:space="preserve">CONFIDENTIAL</w:t>
    </w:r>
    <w:r w:rsidDel="00000000" w:rsidR="00000000" w:rsidRPr="00000000">
      <w:rPr>
        <w:rtl w:val="0"/>
      </w:rPr>
    </w:r>
  </w:p>
  <w:p w:rsidR="00000000" w:rsidDel="00000000" w:rsidP="00000000" w:rsidRDefault="00000000" w:rsidRPr="00000000" w14:paraId="000000C4">
    <w:pPr>
      <w:tabs>
        <w:tab w:val="center" w:leader="none" w:pos="4680"/>
        <w:tab w:val="right" w:leader="none" w:pos="9360"/>
      </w:tabs>
      <w:spacing w:after="0" w:line="240" w:lineRule="auto"/>
      <w:rPr>
        <w:b w:val="1"/>
        <w:color w:val="000000"/>
      </w:rPr>
    </w:pPr>
    <w:r w:rsidDel="00000000" w:rsidR="00000000" w:rsidRPr="00000000">
      <w:rPr>
        <w:b w:val="1"/>
        <w:color w:val="000000"/>
        <w:rtl w:val="0"/>
      </w:rPr>
      <w:t xml:space="preserve">Protocol version 1.</w:t>
    </w:r>
    <w:r w:rsidDel="00000000" w:rsidR="00000000" w:rsidRPr="00000000">
      <w:rPr>
        <w:b w:val="1"/>
        <w:rtl w:val="0"/>
      </w:rPr>
      <w:t xml:space="preserve">1</w:t>
    </w:r>
    <w:r w:rsidDel="00000000" w:rsidR="00000000" w:rsidRPr="00000000">
      <w:rPr>
        <w:b w:val="1"/>
        <w:color w:val="000000"/>
        <w:rtl w:val="0"/>
      </w:rPr>
      <w:t xml:space="preserve"> dated </w:t>
    </w:r>
    <w:r w:rsidDel="00000000" w:rsidR="00000000" w:rsidRPr="00000000">
      <w:rPr>
        <w:b w:val="1"/>
        <w:rtl w:val="0"/>
      </w:rPr>
      <w:t xml:space="preserve">29.08</w:t>
    </w:r>
    <w:r w:rsidDel="00000000" w:rsidR="00000000" w:rsidRPr="00000000">
      <w:rPr>
        <w:b w:val="1"/>
        <w:color w:val="000000"/>
        <w:rtl w:val="0"/>
      </w:rPr>
      <w:t xml:space="preserve">.2023</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25" w:hanging="425"/>
      </w:pPr>
      <w:rPr>
        <w:rFonts w:ascii="Times New Roman" w:cs="Times New Roman" w:eastAsia="Times New Roman" w:hAnsi="Times New Roman"/>
        <w:b w:val="0"/>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0" w:firstLine="0"/>
      </w:pPr>
      <w:rPr>
        <w:b w:val="1"/>
      </w:rPr>
    </w:lvl>
    <w:lvl w:ilvl="1">
      <w:start w:val="1"/>
      <w:numFmt w:val="decimal"/>
      <w:lvlText w:val="%1.%2."/>
      <w:lvlJc w:val="left"/>
      <w:pPr>
        <w:ind w:left="0" w:firstLine="0"/>
      </w:pPr>
      <w:rPr/>
    </w:lvl>
    <w:lvl w:ilvl="2">
      <w:start w:val="1"/>
      <w:numFmt w:val="decimal"/>
      <w:lvlText w:val="%1.%2.%3."/>
      <w:lvlJc w:val="left"/>
      <w:pPr>
        <w:ind w:left="0" w:firstLine="0"/>
      </w:pPr>
      <w:rPr/>
    </w:lvl>
    <w:lvl w:ilvl="3">
      <w:start w:val="1"/>
      <w:numFmt w:val="decimal"/>
      <w:lvlText w:val="%1.%2.%3.%4."/>
      <w:lvlJc w:val="left"/>
      <w:pPr>
        <w:ind w:left="0" w:firstLine="0"/>
      </w:pPr>
      <w:rPr/>
    </w:lvl>
    <w:lvl w:ilvl="4">
      <w:start w:val="1"/>
      <w:numFmt w:val="decimal"/>
      <w:lvlText w:val="%1.%2.%3.%4.%5."/>
      <w:lvlJc w:val="left"/>
      <w:pPr>
        <w:ind w:left="0" w:firstLine="0"/>
      </w:pPr>
      <w:rPr/>
    </w:lvl>
    <w:lvl w:ilvl="5">
      <w:start w:val="1"/>
      <w:numFmt w:val="decimal"/>
      <w:lvlText w:val="%1.%2.%3.%4.%5.%6."/>
      <w:lvlJc w:val="left"/>
      <w:pPr>
        <w:ind w:left="0" w:firstLine="0"/>
      </w:pPr>
      <w:rPr/>
    </w:lvl>
    <w:lvl w:ilvl="6">
      <w:start w:val="1"/>
      <w:numFmt w:val="decimal"/>
      <w:lvlText w:val="%1.%2.%3.%4.%5.%6.%7."/>
      <w:lvlJc w:val="left"/>
      <w:pPr>
        <w:ind w:left="0" w:firstLine="0"/>
      </w:pPr>
      <w:rPr/>
    </w:lvl>
    <w:lvl w:ilvl="7">
      <w:start w:val="1"/>
      <w:numFmt w:val="decimal"/>
      <w:lvlText w:val="%1.%2.%3.%4.%5.%6.%7.%8."/>
      <w:lvlJc w:val="left"/>
      <w:pPr>
        <w:ind w:left="0" w:firstLine="0"/>
      </w:pPr>
      <w:rPr/>
    </w:lvl>
    <w:lvl w:ilvl="8">
      <w:start w:val="1"/>
      <w:numFmt w:val="decimal"/>
      <w:lvlText w:val="%1.%2.%3.%4.%5.%6.%7.%8.%9."/>
      <w:lvlJc w:val="left"/>
      <w:pPr>
        <w:ind w:left="0" w:firstLine="0"/>
      </w:pPr>
      <w:rPr/>
    </w:lvl>
  </w:abstractNum>
  <w:abstractNum w:abstractNumId="3">
    <w:lvl w:ilvl="0">
      <w:start w:val="1"/>
      <w:numFmt w:val="decimal"/>
      <w:lvlText w:val="%1."/>
      <w:lvlJc w:val="left"/>
      <w:pPr>
        <w:ind w:left="578" w:hanging="358"/>
      </w:pPr>
      <w:rPr/>
    </w:lvl>
    <w:lvl w:ilvl="1">
      <w:start w:val="1"/>
      <w:numFmt w:val="decimal"/>
      <w:lvlText w:val="%1.%2."/>
      <w:lvlJc w:val="left"/>
      <w:pPr>
        <w:ind w:left="540" w:hanging="360"/>
      </w:pPr>
      <w:rPr/>
    </w:lvl>
    <w:lvl w:ilvl="2">
      <w:start w:val="1"/>
      <w:numFmt w:val="decimal"/>
      <w:lvlText w:val="%1.%2.%3."/>
      <w:lvlJc w:val="left"/>
      <w:pPr>
        <w:ind w:left="153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lowerLetter"/>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decimal"/>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4e79"/>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unhideWhenUsed w:val="1"/>
    <w:qFormat w:val="1"/>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semiHidden w:val="1"/>
    <w:unhideWhenUsed w:val="1"/>
    <w:qFormat w:val="1"/>
    <w:pPr>
      <w:keepNext w:val="1"/>
      <w:keepLines w:val="1"/>
      <w:spacing w:after="0" w:before="40"/>
      <w:outlineLvl w:val="2"/>
    </w:pPr>
    <w:rPr>
      <w:rFonts w:asciiTheme="majorHAnsi" w:cstheme="majorBidi" w:eastAsiaTheme="majorEastAsia" w:hAnsiTheme="majorHAnsi"/>
      <w:color w:val="1f4e79" w:themeColor="accent1" w:themeShade="000080"/>
      <w:sz w:val="24"/>
      <w:szCs w:val="24"/>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BalloonText">
    <w:name w:val="Balloon Text"/>
    <w:basedOn w:val="Normal"/>
    <w:link w:val="BalloonTextChar"/>
    <w:uiPriority w:val="99"/>
    <w:semiHidden w:val="1"/>
    <w:unhideWhenUsed w:val="1"/>
    <w:qFormat w:val="1"/>
    <w:pPr>
      <w:spacing w:after="0" w:line="240" w:lineRule="auto"/>
    </w:pPr>
    <w:rPr>
      <w:rFonts w:ascii="Segoe UI" w:cs="Segoe UI" w:hAnsi="Segoe UI"/>
      <w:sz w:val="18"/>
      <w:szCs w:val="18"/>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qFormat w:val="1"/>
    <w:pPr>
      <w:widowControl w:val="1"/>
      <w:spacing w:after="0" w:line="240" w:lineRule="auto"/>
    </w:pPr>
    <w:rPr>
      <w:sz w:val="20"/>
      <w:szCs w:val="20"/>
    </w:rPr>
  </w:style>
  <w:style w:type="character" w:styleId="FollowedHyperlink">
    <w:name w:val="FollowedHyperlink"/>
    <w:basedOn w:val="DefaultParagraphFont"/>
    <w:uiPriority w:val="99"/>
    <w:semiHidden w:val="1"/>
    <w:unhideWhenUsed w:val="1"/>
    <w:qFormat w:val="1"/>
    <w:rPr>
      <w:color w:val="954f72" w:themeColor="followedHyperlink"/>
      <w:u w:val="single"/>
    </w:rPr>
  </w:style>
  <w:style w:type="paragraph" w:styleId="Footer">
    <w:name w:val="footer"/>
    <w:basedOn w:val="Normal"/>
    <w:link w:val="FooterChar"/>
    <w:uiPriority w:val="99"/>
    <w:unhideWhenUsed w:val="1"/>
    <w:qFormat w:val="1"/>
    <w:pPr>
      <w:tabs>
        <w:tab w:val="center" w:pos="4680"/>
        <w:tab w:val="right" w:pos="9360"/>
      </w:tabs>
      <w:spacing w:after="0" w:line="240" w:lineRule="auto"/>
    </w:pPr>
  </w:style>
  <w:style w:type="paragraph" w:styleId="Header">
    <w:name w:val="header"/>
    <w:basedOn w:val="Normal"/>
    <w:link w:val="HeaderChar"/>
    <w:uiPriority w:val="99"/>
    <w:unhideWhenUsed w:val="1"/>
    <w:qFormat w:val="1"/>
    <w:pPr>
      <w:tabs>
        <w:tab w:val="center" w:pos="4680"/>
        <w:tab w:val="right" w:pos="9360"/>
      </w:tabs>
      <w:spacing w:after="0" w:line="240" w:lineRule="auto"/>
    </w:pPr>
  </w:style>
  <w:style w:type="character" w:styleId="Hyperlink">
    <w:name w:val="Hyperlink"/>
    <w:basedOn w:val="DefaultParagraphFont"/>
    <w:uiPriority w:val="99"/>
    <w:unhideWhenUsed w:val="1"/>
    <w:qFormat w:val="1"/>
    <w:rPr>
      <w:color w:val="0563c1" w:themeColor="hyperlink"/>
      <w:u w:val="single"/>
    </w:rPr>
  </w:style>
  <w:style w:type="paragraph" w:styleId="NormalWeb">
    <w:name w:val="Normal (Web)"/>
    <w:basedOn w:val="Normal"/>
    <w:uiPriority w:val="99"/>
    <w:semiHidden w:val="1"/>
    <w:unhideWhenUsed w:val="1"/>
    <w:qFormat w:val="1"/>
    <w:pPr>
      <w:widowControl w:val="1"/>
      <w:spacing w:after="100" w:afterAutospacing="1" w:before="100" w:beforeAutospacing="1" w:line="240" w:lineRule="auto"/>
    </w:pPr>
    <w:rPr>
      <w:rFonts w:ascii="Times New Roman" w:cs="Times New Roman" w:eastAsia="Times New Roman" w:hAnsi="Times New Roman"/>
      <w:sz w:val="24"/>
      <w:szCs w:val="24"/>
      <w:lang w:val="en-I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TableGrid">
    <w:name w:val="Table Grid"/>
    <w:basedOn w:val="TableNormal"/>
    <w:uiPriority w:val="59"/>
    <w:qFormat w:val="1"/>
    <w:rPr>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1">
    <w:name w:val="toc 1"/>
    <w:basedOn w:val="Normal"/>
    <w:next w:val="Normal"/>
    <w:autoRedefine w:val="1"/>
    <w:uiPriority w:val="39"/>
    <w:unhideWhenUsed w:val="1"/>
    <w:pPr>
      <w:spacing w:after="100"/>
    </w:pPr>
  </w:style>
  <w:style w:type="paragraph" w:styleId="TOC2">
    <w:name w:val="toc 2"/>
    <w:basedOn w:val="Normal"/>
    <w:next w:val="Normal"/>
    <w:autoRedefine w:val="1"/>
    <w:uiPriority w:val="39"/>
    <w:unhideWhenUsed w:val="1"/>
    <w:qFormat w:val="1"/>
    <w:pPr>
      <w:tabs>
        <w:tab w:val="right" w:leader="dot" w:pos="9350"/>
      </w:tabs>
      <w:spacing w:after="100"/>
      <w:ind w:left="180" w:firstLine="40"/>
    </w:pPr>
  </w:style>
  <w:style w:type="paragraph" w:styleId="TOC3">
    <w:name w:val="toc 3"/>
    <w:basedOn w:val="Normal"/>
    <w:next w:val="Normal"/>
    <w:autoRedefine w:val="1"/>
    <w:uiPriority w:val="39"/>
    <w:unhideWhenUsed w:val="1"/>
    <w:pPr>
      <w:spacing w:after="100"/>
      <w:ind w:left="440"/>
    </w:pPr>
  </w:style>
  <w:style w:type="character" w:styleId="CommentTextChar" w:customStyle="1">
    <w:name w:val="Comment Text Char"/>
    <w:basedOn w:val="DefaultParagraphFont"/>
    <w:link w:val="CommentText"/>
    <w:uiPriority w:val="99"/>
    <w:semiHidden w:val="1"/>
    <w:rPr>
      <w:sz w:val="20"/>
      <w:szCs w:val="20"/>
    </w:rPr>
  </w:style>
  <w:style w:type="character" w:styleId="BalloonTextChar" w:customStyle="1">
    <w:name w:val="Balloon Text Char"/>
    <w:basedOn w:val="DefaultParagraphFont"/>
    <w:link w:val="BalloonText"/>
    <w:uiPriority w:val="99"/>
    <w:semiHidden w:val="1"/>
    <w:qFormat w:val="1"/>
    <w:rPr>
      <w:rFonts w:ascii="Segoe UI" w:cs="Segoe UI" w:hAnsi="Segoe UI"/>
      <w:sz w:val="18"/>
      <w:szCs w:val="18"/>
    </w:rPr>
  </w:style>
  <w:style w:type="paragraph" w:styleId="ListParagraph">
    <w:name w:val="List Paragraph"/>
    <w:basedOn w:val="Normal"/>
    <w:uiPriority w:val="34"/>
    <w:qFormat w:val="1"/>
    <w:pPr>
      <w:widowControl w:val="1"/>
      <w:spacing w:after="0" w:line="240" w:lineRule="auto"/>
      <w:ind w:left="720" w:hanging="720"/>
      <w:contextualSpacing w:val="1"/>
    </w:pPr>
    <w:rPr>
      <w:rFonts w:eastAsiaTheme="minorEastAsia"/>
      <w:lang w:eastAsia="ja-JP" w:val="en-AU"/>
    </w:rPr>
  </w:style>
  <w:style w:type="paragraph" w:styleId="BodyNoBulletOpt" w:customStyle="1">
    <w:name w:val="Body NoBullet Opt"/>
    <w:basedOn w:val="Normal"/>
    <w:qFormat w:val="1"/>
    <w:pPr>
      <w:widowControl w:val="1"/>
      <w:spacing w:after="240" w:line="240" w:lineRule="auto"/>
      <w:ind w:left="720"/>
    </w:pPr>
    <w:rPr>
      <w:rFonts w:ascii="Times New Roman" w:cs="Times New Roman" w:eastAsia="Times New Roman" w:hAnsi="Times New Roman"/>
      <w:kern w:val="28"/>
      <w:sz w:val="24"/>
      <w:szCs w:val="20"/>
    </w:rPr>
  </w:style>
  <w:style w:type="character" w:styleId="Heading1Char" w:customStyle="1">
    <w:name w:val="Heading 1 Char"/>
    <w:basedOn w:val="DefaultParagraphFont"/>
    <w:link w:val="Heading1"/>
    <w:uiPriority w:val="9"/>
    <w:qFormat w:val="1"/>
    <w:rPr>
      <w:rFonts w:asciiTheme="majorHAnsi" w:cstheme="majorBidi" w:eastAsiaTheme="majorEastAsia" w:hAnsiTheme="majorHAnsi"/>
      <w:color w:val="2e74b5" w:themeColor="accent1" w:themeShade="0000BF"/>
      <w:sz w:val="32"/>
      <w:szCs w:val="32"/>
    </w:rPr>
  </w:style>
  <w:style w:type="paragraph" w:styleId="TOCHeading1" w:customStyle="1">
    <w:name w:val="TOC Heading1"/>
    <w:basedOn w:val="Heading1"/>
    <w:next w:val="Normal"/>
    <w:uiPriority w:val="39"/>
    <w:unhideWhenUsed w:val="1"/>
    <w:qFormat w:val="1"/>
    <w:pPr>
      <w:widowControl w:val="1"/>
      <w:spacing w:line="259" w:lineRule="auto"/>
      <w:outlineLvl w:val="9"/>
    </w:pPr>
  </w:style>
  <w:style w:type="character" w:styleId="Heading2Char" w:customStyle="1">
    <w:name w:val="Heading 2 Char"/>
    <w:basedOn w:val="DefaultParagraphFont"/>
    <w:link w:val="Heading2"/>
    <w:uiPriority w:val="9"/>
    <w:semiHidden w:val="1"/>
    <w:qFormat w:val="1"/>
    <w:rPr>
      <w:rFonts w:asciiTheme="majorHAnsi" w:cstheme="majorBidi" w:eastAsiaTheme="majorEastAsia" w:hAnsiTheme="majorHAnsi"/>
      <w:color w:val="2e74b5" w:themeColor="accent1" w:themeShade="0000BF"/>
      <w:sz w:val="26"/>
      <w:szCs w:val="26"/>
    </w:rPr>
  </w:style>
  <w:style w:type="character" w:styleId="Heading3Char" w:customStyle="1">
    <w:name w:val="Heading 3 Char"/>
    <w:basedOn w:val="DefaultParagraphFont"/>
    <w:link w:val="Heading3"/>
    <w:uiPriority w:val="9"/>
    <w:semiHidden w:val="1"/>
    <w:qFormat w:val="1"/>
    <w:rPr>
      <w:rFonts w:asciiTheme="majorHAnsi" w:cstheme="majorBidi" w:eastAsiaTheme="majorEastAsia" w:hAnsiTheme="majorHAnsi"/>
      <w:color w:val="1f4e79" w:themeColor="accent1" w:themeShade="000080"/>
      <w:sz w:val="24"/>
      <w:szCs w:val="24"/>
    </w:rPr>
  </w:style>
  <w:style w:type="character" w:styleId="HeaderChar" w:customStyle="1">
    <w:name w:val="Header Char"/>
    <w:basedOn w:val="DefaultParagraphFont"/>
    <w:link w:val="Header"/>
    <w:uiPriority w:val="99"/>
    <w:qFormat w:val="1"/>
  </w:style>
  <w:style w:type="character" w:styleId="FooterChar" w:customStyle="1">
    <w:name w:val="Footer Char"/>
    <w:basedOn w:val="DefaultParagraphFont"/>
    <w:link w:val="Footer"/>
    <w:uiPriority w:val="99"/>
  </w:style>
  <w:style w:type="paragraph" w:styleId="EndNoteBibliographyTitle" w:customStyle="1">
    <w:name w:val="EndNote Bibliography Title"/>
    <w:basedOn w:val="Normal"/>
    <w:link w:val="EndNoteBibliographyTitleChar"/>
    <w:pPr>
      <w:spacing w:after="0"/>
      <w:jc w:val="center"/>
    </w:pPr>
  </w:style>
  <w:style w:type="character" w:styleId="EndNoteBibliographyTitleChar" w:customStyle="1">
    <w:name w:val="EndNote Bibliography Title Char"/>
    <w:basedOn w:val="Heading1Char"/>
    <w:link w:val="EndNoteBibliographyTitle"/>
    <w:rPr>
      <w:rFonts w:ascii="Calibri" w:cs="Calibri" w:hAnsi="Calibri" w:eastAsiaTheme="majorEastAsia"/>
      <w:color w:val="2e74b5" w:themeColor="accent1" w:themeShade="0000BF"/>
      <w:sz w:val="32"/>
      <w:szCs w:val="32"/>
    </w:rPr>
  </w:style>
  <w:style w:type="paragraph" w:styleId="EndNoteBibliography" w:customStyle="1">
    <w:name w:val="EndNote Bibliography"/>
    <w:basedOn w:val="Normal"/>
    <w:link w:val="EndNoteBibliographyChar"/>
    <w:qFormat w:val="1"/>
    <w:pPr>
      <w:spacing w:line="240" w:lineRule="auto"/>
    </w:pPr>
  </w:style>
  <w:style w:type="character" w:styleId="EndNoteBibliographyChar" w:customStyle="1">
    <w:name w:val="EndNote Bibliography Char"/>
    <w:basedOn w:val="Heading1Char"/>
    <w:link w:val="EndNoteBibliography"/>
    <w:qFormat w:val="1"/>
    <w:rPr>
      <w:rFonts w:ascii="Calibri" w:cs="Calibri" w:hAnsi="Calibri" w:eastAsiaTheme="majorEastAsia"/>
      <w:color w:val="2e74b5" w:themeColor="accent1" w:themeShade="0000BF"/>
      <w:sz w:val="32"/>
      <w:szCs w:val="32"/>
    </w:rPr>
  </w:style>
  <w:style w:type="character" w:styleId="cf01" w:customStyle="1">
    <w:name w:val="cf01"/>
    <w:basedOn w:val="DefaultParagraphFont"/>
    <w:rPr>
      <w:rFonts w:ascii="Segoe UI" w:cs="Segoe UI" w:hAnsi="Segoe UI" w:hint="default"/>
      <w:sz w:val="18"/>
      <w:szCs w:val="18"/>
    </w:rPr>
  </w:style>
  <w:style w:type="character" w:styleId="cf11" w:customStyle="1">
    <w:name w:val="cf11"/>
    <w:basedOn w:val="DefaultParagraphFont"/>
    <w:qFormat w:val="1"/>
    <w:rPr>
      <w:rFonts w:ascii="Segoe UI" w:cs="Segoe UI" w:hAnsi="Segoe UI" w:hint="default"/>
      <w:sz w:val="18"/>
      <w:szCs w:val="18"/>
    </w:rPr>
  </w:style>
  <w:style w:type="character" w:styleId="cf21" w:customStyle="1">
    <w:name w:val="cf21"/>
    <w:basedOn w:val="DefaultParagraphFont"/>
    <w:qFormat w:val="1"/>
    <w:rPr>
      <w:rFonts w:ascii="Segoe UI" w:cs="Segoe UI" w:hAnsi="Segoe UI" w:hint="default"/>
      <w:i w:val="1"/>
      <w:iCs w:val="1"/>
      <w:sz w:val="18"/>
      <w:szCs w:val="18"/>
    </w:rPr>
  </w:style>
  <w:style w:type="table" w:styleId="Style38" w:customStyle="1">
    <w:name w:val="_Style 38"/>
    <w:basedOn w:val="TableNormal"/>
    <w:qFormat w:val="1"/>
    <w:rPr>
      <w:sz w:val="24"/>
      <w:szCs w:val="24"/>
    </w:rPr>
    <w:tblPr/>
  </w:style>
  <w:style w:type="table" w:styleId="Style39" w:customStyle="1">
    <w:name w:val="_Style 39"/>
    <w:basedOn w:val="TableNormal"/>
    <w:qFormat w:val="1"/>
    <w:rPr>
      <w:sz w:val="24"/>
      <w:szCs w:val="24"/>
    </w:rPr>
    <w:tblPr/>
  </w:style>
  <w:style w:type="paragraph" w:styleId="Default" w:customStyle="1">
    <w:name w:val="Default"/>
    <w:qFormat w:val="1"/>
    <w:pPr>
      <w:autoSpaceDE w:val="0"/>
      <w:autoSpaceDN w:val="0"/>
      <w:adjustRightInd w:val="0"/>
    </w:pPr>
    <w:rPr>
      <w:rFonts w:eastAsiaTheme="minorHAnsi"/>
      <w:color w:val="000000"/>
      <w:sz w:val="24"/>
      <w:szCs w:val="24"/>
      <w:lang w:eastAsia="en-US"/>
    </w:rPr>
  </w:style>
  <w:style w:type="character" w:styleId="apple-converted-space" w:customStyle="1">
    <w:name w:val="apple-converted-space"/>
    <w:basedOn w:val="DefaultParagraphFont"/>
    <w:qFormat w:val="1"/>
  </w:style>
  <w:style w:type="table" w:styleId="Style44" w:customStyle="1">
    <w:name w:val="_Style 44"/>
    <w:basedOn w:val="TableNormal"/>
    <w:qFormat w:val="1"/>
    <w:tblPr>
      <w:tblCellMar>
        <w:left w:w="115.0" w:type="dxa"/>
        <w:right w:w="115.0" w:type="dxa"/>
      </w:tblCellMar>
    </w:tblPr>
  </w:style>
  <w:style w:type="table" w:styleId="Style45" w:customStyle="1">
    <w:name w:val="_Style 45"/>
    <w:basedOn w:val="TableNormal"/>
    <w:qFormat w:val="1"/>
    <w:tblPr>
      <w:tblCellMar>
        <w:top w:w="100.0" w:type="dxa"/>
        <w:left w:w="100.0" w:type="dxa"/>
        <w:bottom w:w="100.0" w:type="dxa"/>
        <w:right w:w="100.0" w:type="dxa"/>
      </w:tblCellMar>
    </w:tblPr>
  </w:style>
  <w:style w:type="table" w:styleId="Style46" w:customStyle="1">
    <w:name w:val="_Style 46"/>
    <w:basedOn w:val="TableNormal"/>
    <w:qFormat w:val="1"/>
    <w:tblPr>
      <w:tblCellMar>
        <w:left w:w="115.0" w:type="dxa"/>
        <w:right w:w="115.0" w:type="dxa"/>
      </w:tblCellMar>
    </w:tblPr>
  </w:style>
  <w:style w:type="character" w:styleId="15" w:customStyle="1">
    <w:name w:val="15"/>
    <w:rPr>
      <w:rFonts w:ascii="Calibri" w:cs="Calibri" w:hAnsi="Calibri" w:hint="eastAsia"/>
      <w:color w:val="0563c1"/>
      <w:u w:val="single"/>
    </w:rPr>
  </w:style>
  <w:style w:type="table" w:styleId="a" w:customStyle="1">
    <w:basedOn w:val="TableNormal"/>
    <w:rPr>
      <w:sz w:val="24"/>
      <w:szCs w:val="24"/>
    </w:rPr>
    <w:tblPr>
      <w:tblStyleRowBandSize w:val="1"/>
      <w:tblStyleColBandSize w:val="1"/>
      <w:tblCellMar>
        <w:top w:w="100.0" w:type="dxa"/>
        <w:left w:w="115.0" w:type="dxa"/>
        <w:bottom w:w="100.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sz w:val="24"/>
      <w:szCs w:val="24"/>
    </w:rPr>
    <w:tblPr>
      <w:tblStyleRowBandSize w:val="1"/>
      <w:tblStyleColBandSize w:val="1"/>
      <w:tblCellMar>
        <w:top w:w="100.0" w:type="dxa"/>
        <w:left w:w="115.0" w:type="dxa"/>
        <w:bottom w:w="100.0" w:type="dxa"/>
        <w:right w:w="115.0" w:type="dxa"/>
      </w:tblCellMar>
    </w:tblPr>
  </w:style>
  <w:style w:type="table" w:styleId="Table2">
    <w:basedOn w:val="TableNormal"/>
    <w:rPr>
      <w:sz w:val="24"/>
      <w:szCs w:val="24"/>
    </w:r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3389/fonc.2020.565306." TargetMode="External"/><Relationship Id="rId10" Type="http://schemas.openxmlformats.org/officeDocument/2006/relationships/hyperlink" Target="https://doi.org/10.3389/fmed.2018.00085." TargetMode="External"/><Relationship Id="rId13" Type="http://schemas.openxmlformats.org/officeDocument/2006/relationships/hyperlink" Target="https://doi.org/10.1038/s41576-022-00553-x." TargetMode="External"/><Relationship Id="rId12" Type="http://schemas.openxmlformats.org/officeDocument/2006/relationships/hyperlink" Target="https://doi.org/10.1038/s41389-018-0087-x."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18632/oncotarget.7067." TargetMode="External"/><Relationship Id="rId15" Type="http://schemas.openxmlformats.org/officeDocument/2006/relationships/footer" Target="footer1.xml"/><Relationship Id="rId14" Type="http://schemas.openxmlformats.org/officeDocument/2006/relationships/hyperlink" Target="https://doi.org/10.7554/eLife.72518." TargetMode="Externa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i.org/10.7554/eLife.63518." TargetMode="External"/><Relationship Id="rId8" Type="http://schemas.openxmlformats.org/officeDocument/2006/relationships/hyperlink" Target="https://doi.org/10.1016/j.trecan.2021.01.00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U1bLoRdMuLsAez7pVfo1Cu+Kgw==">CgMxLjAyCGguZ2pkZ3hzMgloLjF0M2g1c2Y4AHIhMVJPUFJuSFJscm9oZklFdzZWeko3dkdzT3BMV0hPcE5t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2024-05-31T07:39:00Z</dcterms:created>
  <dc:creator>admin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9C1E78EAAAC541FF9ED97FD1C199B09A_12</vt:lpwstr>
  </property>
</Properties>
</file>